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beforeLines="50" w:line="360" w:lineRule="auto"/>
        <w:ind w:firstLine="883" w:firstLineChars="200"/>
        <w:rPr>
          <w:rFonts w:ascii="黑体" w:hAnsi="黑体" w:eastAsia="黑体"/>
          <w:b/>
          <w:sz w:val="44"/>
          <w:szCs w:val="44"/>
        </w:rPr>
      </w:pPr>
    </w:p>
    <w:p>
      <w:pPr>
        <w:adjustRightInd w:val="0"/>
        <w:snapToGrid w:val="0"/>
        <w:spacing w:beforeLines="50" w:line="360" w:lineRule="auto"/>
        <w:ind w:firstLine="883" w:firstLineChars="200"/>
        <w:rPr>
          <w:rFonts w:ascii="黑体" w:hAnsi="黑体" w:eastAsia="黑体"/>
          <w:b/>
          <w:sz w:val="44"/>
          <w:szCs w:val="44"/>
        </w:rPr>
      </w:pPr>
    </w:p>
    <w:p>
      <w:pPr>
        <w:widowControl w:val="0"/>
        <w:wordWrap/>
        <w:adjustRightInd w:val="0"/>
        <w:snapToGrid w:val="0"/>
        <w:spacing w:line="240" w:lineRule="auto"/>
        <w:jc w:val="center"/>
        <w:textAlignment w:val="auto"/>
        <w:rPr>
          <w:rFonts w:hint="eastAsia" w:ascii="黑体" w:hAnsi="黑体" w:eastAsia="黑体" w:cs="Times New Roman"/>
          <w:b/>
          <w:bCs/>
          <w:kern w:val="2"/>
          <w:sz w:val="44"/>
          <w:szCs w:val="44"/>
          <w:lang w:eastAsia="zh-CN"/>
        </w:rPr>
      </w:pPr>
      <w:r>
        <w:rPr>
          <w:rFonts w:hint="eastAsia" w:ascii="黑体" w:hAnsi="黑体" w:eastAsia="黑体" w:cs="Times New Roman"/>
          <w:b/>
          <w:bCs/>
          <w:kern w:val="2"/>
          <w:sz w:val="44"/>
          <w:szCs w:val="44"/>
          <w:lang w:eastAsia="zh-CN"/>
        </w:rPr>
        <w:t>油船清洗舱安全作业要求</w:t>
      </w:r>
    </w:p>
    <w:p>
      <w:pPr>
        <w:widowControl w:val="0"/>
        <w:wordWrap/>
        <w:adjustRightInd w:val="0"/>
        <w:snapToGrid w:val="0"/>
        <w:spacing w:line="240" w:lineRule="auto"/>
        <w:jc w:val="center"/>
        <w:textAlignment w:val="auto"/>
        <w:rPr>
          <w:rFonts w:hint="eastAsia" w:ascii="黑体" w:hAnsi="黑体" w:eastAsia="黑体" w:cs="Times New Roman"/>
          <w:b/>
          <w:bCs/>
          <w:kern w:val="2"/>
          <w:sz w:val="44"/>
          <w:szCs w:val="44"/>
          <w:lang w:eastAsia="zh-CN"/>
        </w:rPr>
      </w:pPr>
      <w:r>
        <w:rPr>
          <w:rFonts w:hint="eastAsia" w:ascii="黑体" w:hAnsi="黑体" w:eastAsia="黑体" w:cs="Times New Roman"/>
          <w:b/>
          <w:bCs/>
          <w:kern w:val="2"/>
          <w:sz w:val="44"/>
          <w:szCs w:val="44"/>
          <w:lang w:eastAsia="zh-CN"/>
        </w:rPr>
        <w:t>（征求意见稿）</w:t>
      </w:r>
    </w:p>
    <w:p>
      <w:pPr>
        <w:widowControl w:val="0"/>
        <w:wordWrap/>
        <w:adjustRightInd w:val="0"/>
        <w:snapToGrid w:val="0"/>
        <w:spacing w:line="240" w:lineRule="auto"/>
        <w:jc w:val="center"/>
        <w:textAlignment w:val="auto"/>
        <w:rPr>
          <w:rFonts w:hint="eastAsia" w:ascii="黑体" w:hAnsi="黑体" w:eastAsia="黑体" w:cs="Times New Roman"/>
          <w:b/>
          <w:bCs/>
          <w:kern w:val="2"/>
          <w:sz w:val="44"/>
          <w:szCs w:val="44"/>
          <w:lang w:eastAsia="zh-CN"/>
        </w:rPr>
      </w:pPr>
      <w:r>
        <w:rPr>
          <w:rFonts w:hint="eastAsia" w:ascii="黑体" w:hAnsi="黑体" w:eastAsia="黑体" w:cs="Times New Roman"/>
          <w:b/>
          <w:bCs/>
          <w:kern w:val="2"/>
          <w:sz w:val="44"/>
          <w:szCs w:val="44"/>
          <w:lang w:eastAsia="zh-CN"/>
        </w:rPr>
        <w:t>编制说明</w:t>
      </w:r>
    </w:p>
    <w:p>
      <w:pPr>
        <w:adjustRightInd w:val="0"/>
        <w:snapToGrid w:val="0"/>
        <w:spacing w:beforeLines="50" w:line="360" w:lineRule="auto"/>
        <w:jc w:val="center"/>
        <w:rPr>
          <w:rFonts w:ascii="黑体" w:hAnsi="黑体" w:eastAsia="黑体"/>
          <w:b/>
          <w:sz w:val="44"/>
          <w:szCs w:val="44"/>
        </w:rPr>
      </w:pPr>
    </w:p>
    <w:p>
      <w:pPr>
        <w:adjustRightInd w:val="0"/>
        <w:snapToGrid w:val="0"/>
        <w:spacing w:beforeLines="50" w:line="360" w:lineRule="auto"/>
        <w:jc w:val="center"/>
        <w:rPr>
          <w:rFonts w:ascii="黑体" w:hAnsi="黑体" w:eastAsia="黑体"/>
          <w:b/>
          <w:sz w:val="44"/>
          <w:szCs w:val="44"/>
        </w:rPr>
      </w:pPr>
    </w:p>
    <w:p>
      <w:pPr>
        <w:adjustRightInd w:val="0"/>
        <w:snapToGrid w:val="0"/>
        <w:spacing w:beforeLines="50" w:line="360" w:lineRule="auto"/>
        <w:jc w:val="center"/>
        <w:rPr>
          <w:rFonts w:ascii="黑体" w:hAnsi="黑体" w:eastAsia="黑体"/>
          <w:b/>
          <w:sz w:val="44"/>
          <w:szCs w:val="44"/>
        </w:rPr>
      </w:pPr>
    </w:p>
    <w:p>
      <w:pPr>
        <w:adjustRightInd w:val="0"/>
        <w:snapToGrid w:val="0"/>
        <w:spacing w:beforeLines="50" w:line="360" w:lineRule="auto"/>
        <w:jc w:val="center"/>
        <w:rPr>
          <w:rFonts w:ascii="黑体" w:hAnsi="黑体" w:eastAsia="黑体"/>
          <w:b/>
          <w:sz w:val="44"/>
          <w:szCs w:val="44"/>
        </w:rPr>
      </w:pPr>
    </w:p>
    <w:p>
      <w:pPr>
        <w:adjustRightInd w:val="0"/>
        <w:snapToGrid w:val="0"/>
        <w:spacing w:beforeLines="50" w:line="360" w:lineRule="auto"/>
        <w:jc w:val="center"/>
        <w:rPr>
          <w:rFonts w:ascii="黑体" w:hAnsi="黑体" w:eastAsia="黑体"/>
          <w:b/>
          <w:sz w:val="44"/>
          <w:szCs w:val="44"/>
        </w:rPr>
      </w:pPr>
    </w:p>
    <w:p>
      <w:pPr>
        <w:widowControl w:val="0"/>
        <w:wordWrap/>
        <w:adjustRightInd w:val="0"/>
        <w:snapToGrid w:val="0"/>
        <w:spacing w:line="240" w:lineRule="auto"/>
        <w:jc w:val="center"/>
        <w:textAlignment w:val="auto"/>
        <w:rPr>
          <w:rFonts w:hint="eastAsia" w:ascii="黑体" w:hAnsi="黑体" w:eastAsia="黑体" w:cs="Times New Roman"/>
          <w:b/>
          <w:bCs/>
          <w:kern w:val="2"/>
          <w:sz w:val="32"/>
          <w:szCs w:val="24"/>
          <w:lang w:eastAsia="zh-CN"/>
        </w:rPr>
      </w:pPr>
      <w:r>
        <w:rPr>
          <w:rFonts w:hint="eastAsia" w:ascii="黑体" w:hAnsi="黑体" w:eastAsia="黑体" w:cs="Times New Roman"/>
          <w:b/>
          <w:bCs/>
          <w:kern w:val="2"/>
          <w:sz w:val="32"/>
          <w:szCs w:val="24"/>
          <w:lang w:eastAsia="zh-CN"/>
        </w:rPr>
        <w:t>标准起草组</w:t>
      </w:r>
    </w:p>
    <w:p>
      <w:pPr>
        <w:widowControl w:val="0"/>
        <w:wordWrap/>
        <w:adjustRightInd w:val="0"/>
        <w:snapToGrid w:val="0"/>
        <w:spacing w:line="240" w:lineRule="auto"/>
        <w:jc w:val="center"/>
        <w:textAlignment w:val="auto"/>
        <w:rPr>
          <w:rFonts w:hint="eastAsia" w:ascii="黑体" w:hAnsi="黑体" w:eastAsia="黑体" w:cs="Times New Roman"/>
          <w:b/>
          <w:bCs/>
          <w:kern w:val="2"/>
          <w:sz w:val="32"/>
          <w:szCs w:val="24"/>
          <w:lang w:eastAsia="zh-CN"/>
        </w:rPr>
      </w:pPr>
      <w:r>
        <w:rPr>
          <w:rFonts w:hint="eastAsia" w:ascii="黑体" w:hAnsi="黑体" w:eastAsia="黑体" w:cs="Times New Roman"/>
          <w:b/>
          <w:bCs/>
          <w:kern w:val="2"/>
          <w:sz w:val="32"/>
          <w:szCs w:val="24"/>
          <w:lang w:eastAsia="zh-CN"/>
        </w:rPr>
        <w:t>20</w:t>
      </w:r>
      <w:r>
        <w:rPr>
          <w:rFonts w:hint="eastAsia" w:ascii="黑体" w:hAnsi="黑体" w:eastAsia="黑体" w:cs="Times New Roman"/>
          <w:b/>
          <w:bCs/>
          <w:kern w:val="2"/>
          <w:sz w:val="32"/>
          <w:szCs w:val="24"/>
          <w:lang w:val="en-US" w:eastAsia="zh-CN"/>
        </w:rPr>
        <w:t>20</w:t>
      </w:r>
      <w:r>
        <w:rPr>
          <w:rFonts w:hint="eastAsia" w:ascii="黑体" w:hAnsi="黑体" w:eastAsia="黑体" w:cs="Times New Roman"/>
          <w:b/>
          <w:bCs/>
          <w:kern w:val="2"/>
          <w:sz w:val="32"/>
          <w:szCs w:val="24"/>
          <w:lang w:eastAsia="zh-CN"/>
        </w:rPr>
        <w:t>年2月</w:t>
      </w:r>
    </w:p>
    <w:p>
      <w:pPr>
        <w:spacing w:beforeLines="50" w:line="360" w:lineRule="auto"/>
        <w:rPr>
          <w:rFonts w:ascii="黑体" w:hAnsi="黑体" w:eastAsia="黑体"/>
          <w:b/>
          <w:sz w:val="36"/>
        </w:rPr>
      </w:pPr>
    </w:p>
    <w:p>
      <w:pPr>
        <w:spacing w:beforeLines="50" w:line="360" w:lineRule="auto"/>
        <w:rPr>
          <w:rFonts w:ascii="黑体" w:hAnsi="黑体" w:eastAsia="黑体"/>
          <w:sz w:val="36"/>
        </w:rPr>
        <w:sectPr>
          <w:pgSz w:w="11906" w:h="16838"/>
          <w:pgMar w:top="1588" w:right="1814" w:bottom="1588" w:left="1814" w:header="851" w:footer="992" w:gutter="0"/>
          <w:cols w:space="425" w:num="1"/>
          <w:docGrid w:type="linesAndChars" w:linePitch="312"/>
        </w:sectPr>
      </w:pPr>
    </w:p>
    <w:p>
      <w:pPr>
        <w:spacing w:beforeLines="50" w:line="360" w:lineRule="auto"/>
        <w:jc w:val="center"/>
        <w:rPr>
          <w:lang w:val="zh-CN"/>
        </w:rPr>
      </w:pPr>
      <w:r>
        <w:rPr>
          <w:rFonts w:ascii="黑体" w:hAnsi="黑体" w:eastAsia="黑体"/>
          <w:b/>
          <w:bCs/>
          <w:sz w:val="32"/>
          <w:szCs w:val="32"/>
          <w:lang w:val="zh-CN"/>
        </w:rPr>
        <w:t>目</w:t>
      </w:r>
      <w:r>
        <w:rPr>
          <w:rFonts w:hint="eastAsia" w:ascii="黑体" w:hAnsi="黑体" w:eastAsia="黑体"/>
          <w:b/>
          <w:bCs/>
          <w:sz w:val="32"/>
          <w:szCs w:val="32"/>
          <w:lang w:val="zh-CN"/>
        </w:rPr>
        <w:t xml:space="preserve">  </w:t>
      </w:r>
      <w:r>
        <w:rPr>
          <w:rFonts w:ascii="黑体" w:hAnsi="黑体" w:eastAsia="黑体"/>
          <w:b/>
          <w:bCs/>
          <w:sz w:val="32"/>
          <w:szCs w:val="32"/>
          <w:lang w:val="zh-CN"/>
        </w:rPr>
        <w:t>录</w:t>
      </w:r>
    </w:p>
    <w:p>
      <w:pPr>
        <w:pStyle w:val="11"/>
        <w:tabs>
          <w:tab w:val="left" w:pos="840"/>
        </w:tabs>
        <w:spacing w:beforeLines="50"/>
        <w:rPr>
          <w:b w:val="0"/>
        </w:rPr>
      </w:pPr>
      <w:r>
        <w:rPr>
          <w:b w:val="0"/>
        </w:rPr>
        <w:fldChar w:fldCharType="begin"/>
      </w:r>
      <w:r>
        <w:rPr>
          <w:b w:val="0"/>
        </w:rPr>
        <w:instrText xml:space="preserve"> TOC \o "1-3" \h \z \u </w:instrText>
      </w:r>
      <w:r>
        <w:rPr>
          <w:b w:val="0"/>
        </w:rPr>
        <w:fldChar w:fldCharType="separate"/>
      </w:r>
      <w:r>
        <w:fldChar w:fldCharType="begin"/>
      </w:r>
      <w:r>
        <w:instrText xml:space="preserve">HYPERLINK  \l "_Toc15751145" </w:instrText>
      </w:r>
      <w:r>
        <w:fldChar w:fldCharType="separate"/>
      </w:r>
      <w:r>
        <w:rPr>
          <w:rStyle w:val="14"/>
          <w:b w:val="0"/>
        </w:rPr>
        <w:t>一、工作简况</w:t>
      </w:r>
      <w:r>
        <w:rPr>
          <w:b w:val="0"/>
        </w:rPr>
        <w:tab/>
      </w:r>
      <w:r>
        <w:rPr>
          <w:b w:val="0"/>
        </w:rPr>
        <w:fldChar w:fldCharType="begin"/>
      </w:r>
      <w:r>
        <w:rPr>
          <w:b w:val="0"/>
        </w:rPr>
        <w:instrText xml:space="preserve"> PAGEREF _Toc15751145 \h </w:instrText>
      </w:r>
      <w:r>
        <w:rPr>
          <w:b w:val="0"/>
        </w:rPr>
        <w:fldChar w:fldCharType="separate"/>
      </w:r>
      <w:r>
        <w:rPr>
          <w:b w:val="0"/>
        </w:rPr>
        <w:t>1</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"_Toc15751149" </w:instrText>
      </w:r>
      <w:r>
        <w:fldChar w:fldCharType="separate"/>
      </w:r>
      <w:r>
        <w:rPr>
          <w:rStyle w:val="14"/>
          <w:b w:val="0"/>
        </w:rPr>
        <w:t>二、标准编制原则和确定标准主要内容的依据</w:t>
      </w:r>
      <w:r>
        <w:rPr>
          <w:b w:val="0"/>
        </w:rPr>
        <w:tab/>
      </w:r>
      <w:r>
        <w:rPr>
          <w:b w:val="0"/>
        </w:rPr>
        <w:fldChar w:fldCharType="begin"/>
      </w:r>
      <w:r>
        <w:rPr>
          <w:b w:val="0"/>
        </w:rPr>
        <w:instrText xml:space="preserve"> PAGEREF _Toc15751149 \h </w:instrText>
      </w:r>
      <w:r>
        <w:rPr>
          <w:b w:val="0"/>
        </w:rPr>
        <w:fldChar w:fldCharType="separate"/>
      </w:r>
      <w:r>
        <w:rPr>
          <w:b w:val="0"/>
        </w:rPr>
        <w:t>3</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"_Toc15751152" </w:instrText>
      </w:r>
      <w:r>
        <w:fldChar w:fldCharType="separate"/>
      </w:r>
      <w:r>
        <w:rPr>
          <w:rStyle w:val="14"/>
          <w:b w:val="0"/>
        </w:rPr>
        <w:t>三、国外相关法律、法规和标准情况的说明</w:t>
      </w:r>
      <w:r>
        <w:rPr>
          <w:b w:val="0"/>
        </w:rPr>
        <w:tab/>
      </w:r>
      <w:r>
        <w:rPr>
          <w:b w:val="0"/>
        </w:rPr>
        <w:fldChar w:fldCharType="begin"/>
      </w:r>
      <w:r>
        <w:rPr>
          <w:b w:val="0"/>
        </w:rPr>
        <w:instrText xml:space="preserve"> PAGEREF _Toc15751152 \h </w:instrText>
      </w:r>
      <w:r>
        <w:rPr>
          <w:b w:val="0"/>
        </w:rPr>
        <w:fldChar w:fldCharType="separate"/>
      </w:r>
      <w:r>
        <w:rPr>
          <w:b w:val="0"/>
        </w:rPr>
        <w:t>14</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"_Toc15751156" </w:instrText>
      </w:r>
      <w:r>
        <w:fldChar w:fldCharType="separate"/>
      </w:r>
      <w:r>
        <w:rPr>
          <w:rStyle w:val="14"/>
          <w:b w:val="0"/>
        </w:rPr>
        <w:t>四、与我国有关现行法律、法规和其他强制性标准的关系</w:t>
      </w:r>
      <w:r>
        <w:rPr>
          <w:b w:val="0"/>
        </w:rPr>
        <w:tab/>
      </w:r>
      <w:r>
        <w:rPr>
          <w:b w:val="0"/>
        </w:rPr>
        <w:fldChar w:fldCharType="begin"/>
      </w:r>
      <w:r>
        <w:rPr>
          <w:b w:val="0"/>
        </w:rPr>
        <w:instrText xml:space="preserve"> PAGEREF _Toc15751156 \h </w:instrText>
      </w:r>
      <w:r>
        <w:rPr>
          <w:b w:val="0"/>
        </w:rPr>
        <w:fldChar w:fldCharType="separate"/>
      </w:r>
      <w:r>
        <w:rPr>
          <w:b w:val="0"/>
        </w:rPr>
        <w:t>19</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"_Toc15751160" </w:instrText>
      </w:r>
      <w:r>
        <w:fldChar w:fldCharType="separate"/>
      </w:r>
      <w:r>
        <w:rPr>
          <w:rStyle w:val="14"/>
          <w:b w:val="0"/>
        </w:rPr>
        <w:t>五、重大意见分歧的处理结果和依据</w:t>
      </w:r>
      <w:r>
        <w:rPr>
          <w:b w:val="0"/>
        </w:rPr>
        <w:tab/>
      </w:r>
      <w:r>
        <w:rPr>
          <w:b w:val="0"/>
        </w:rPr>
        <w:fldChar w:fldCharType="begin"/>
      </w:r>
      <w:r>
        <w:rPr>
          <w:b w:val="0"/>
        </w:rPr>
        <w:instrText xml:space="preserve"> PAGEREF _Toc15751160 \h </w:instrText>
      </w:r>
      <w:r>
        <w:rPr>
          <w:b w:val="0"/>
        </w:rPr>
        <w:fldChar w:fldCharType="separate"/>
      </w:r>
      <w:r>
        <w:rPr>
          <w:b w:val="0"/>
        </w:rPr>
        <w:t>22</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"_Toc15751161" </w:instrText>
      </w:r>
      <w:r>
        <w:fldChar w:fldCharType="separate"/>
      </w:r>
      <w:r>
        <w:rPr>
          <w:rStyle w:val="14"/>
          <w:b w:val="0"/>
        </w:rPr>
        <w:t>六、强制的理由</w:t>
      </w:r>
      <w:r>
        <w:rPr>
          <w:rStyle w:val="14"/>
          <w:rFonts w:hint="eastAsia"/>
          <w:b w:val="0"/>
          <w:lang w:eastAsia="zh-CN"/>
        </w:rPr>
        <w:t>及</w:t>
      </w:r>
      <w:r>
        <w:rPr>
          <w:rStyle w:val="14"/>
          <w:b w:val="0"/>
        </w:rPr>
        <w:t>预期的社会经济效果</w:t>
      </w:r>
      <w:r>
        <w:rPr>
          <w:b w:val="0"/>
        </w:rPr>
        <w:tab/>
      </w:r>
      <w:r>
        <w:rPr>
          <w:b w:val="0"/>
        </w:rPr>
        <w:fldChar w:fldCharType="begin"/>
      </w:r>
      <w:r>
        <w:rPr>
          <w:b w:val="0"/>
        </w:rPr>
        <w:instrText xml:space="preserve"> PAGEREF _Toc15751161 \h </w:instrText>
      </w:r>
      <w:r>
        <w:rPr>
          <w:b w:val="0"/>
        </w:rPr>
        <w:fldChar w:fldCharType="separate"/>
      </w:r>
      <w:r>
        <w:rPr>
          <w:b w:val="0"/>
        </w:rPr>
        <w:t>22</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"_Toc15751164" </w:instrText>
      </w:r>
      <w:r>
        <w:fldChar w:fldCharType="separate"/>
      </w:r>
      <w:r>
        <w:rPr>
          <w:rStyle w:val="14"/>
          <w:b w:val="0"/>
        </w:rPr>
        <w:t>七、贯彻强制性标准的要求、措施建议及设立标准实施过渡期的理由与标准实施日期的建议</w:t>
      </w:r>
      <w:r>
        <w:rPr>
          <w:b w:val="0"/>
        </w:rPr>
        <w:tab/>
      </w:r>
      <w:r>
        <w:rPr>
          <w:b w:val="0"/>
        </w:rPr>
        <w:fldChar w:fldCharType="begin"/>
      </w:r>
      <w:r>
        <w:rPr>
          <w:b w:val="0"/>
        </w:rPr>
        <w:instrText xml:space="preserve"> PAGEREF _Toc15751164 \h </w:instrText>
      </w:r>
      <w:r>
        <w:rPr>
          <w:b w:val="0"/>
        </w:rPr>
        <w:fldChar w:fldCharType="separate"/>
      </w:r>
      <w:r>
        <w:rPr>
          <w:b w:val="0"/>
        </w:rPr>
        <w:t>23</w:t>
      </w:r>
      <w:r>
        <w:rPr>
          <w:b w:val="0"/>
        </w:rPr>
        <w:fldChar w:fldCharType="end"/>
      </w:r>
      <w:r>
        <w:fldChar w:fldCharType="end"/>
      </w:r>
    </w:p>
    <w:p>
      <w:pPr>
        <w:pStyle w:val="11"/>
        <w:tabs>
          <w:tab w:val="left" w:pos="840"/>
        </w:tabs>
        <w:spacing w:beforeLines="50"/>
        <w:rPr>
          <w:b w:val="0"/>
        </w:rPr>
      </w:pPr>
      <w:r>
        <w:fldChar w:fldCharType="begin"/>
      </w:r>
      <w:r>
        <w:instrText xml:space="preserve">HYPERLINK  \l "_Toc15751168" </w:instrText>
      </w:r>
      <w:r>
        <w:fldChar w:fldCharType="separate"/>
      </w:r>
      <w:r>
        <w:rPr>
          <w:rStyle w:val="14"/>
          <w:b w:val="0"/>
        </w:rPr>
        <w:t>八、废止现行有关标准的建议</w:t>
      </w:r>
      <w:r>
        <w:rPr>
          <w:b w:val="0"/>
        </w:rPr>
        <w:tab/>
      </w:r>
      <w:r>
        <w:rPr>
          <w:b w:val="0"/>
        </w:rPr>
        <w:fldChar w:fldCharType="begin"/>
      </w:r>
      <w:r>
        <w:rPr>
          <w:b w:val="0"/>
        </w:rPr>
        <w:instrText xml:space="preserve"> PAGEREF _Toc15751168 \h </w:instrText>
      </w:r>
      <w:r>
        <w:rPr>
          <w:b w:val="0"/>
        </w:rPr>
        <w:fldChar w:fldCharType="separate"/>
      </w:r>
      <w:r>
        <w:rPr>
          <w:b w:val="0"/>
        </w:rPr>
        <w:t>24</w:t>
      </w:r>
      <w:r>
        <w:rPr>
          <w:b w:val="0"/>
        </w:rPr>
        <w:fldChar w:fldCharType="end"/>
      </w:r>
      <w:r>
        <w:fldChar w:fldCharType="end"/>
      </w:r>
    </w:p>
    <w:p>
      <w:pPr>
        <w:pStyle w:val="11"/>
        <w:tabs>
          <w:tab w:val="left" w:pos="840"/>
        </w:tabs>
        <w:spacing w:beforeLines="50"/>
        <w:rPr>
          <w:b w:val="0"/>
        </w:rPr>
      </w:pPr>
      <w:bookmarkStart w:id="58" w:name="_GoBack"/>
      <w:bookmarkEnd w:id="58"/>
      <w:r>
        <w:fldChar w:fldCharType="begin"/>
      </w:r>
      <w:r>
        <w:instrText xml:space="preserve">HYPERLINK  \l "_Toc15751169" </w:instrText>
      </w:r>
      <w:r>
        <w:fldChar w:fldCharType="separate"/>
      </w:r>
      <w:r>
        <w:rPr>
          <w:rStyle w:val="14"/>
          <w:b w:val="0"/>
        </w:rPr>
        <w:t>九、其他应予说明的事项</w:t>
      </w:r>
      <w:r>
        <w:rPr>
          <w:b w:val="0"/>
        </w:rPr>
        <w:tab/>
      </w:r>
      <w:r>
        <w:rPr>
          <w:b w:val="0"/>
        </w:rPr>
        <w:fldChar w:fldCharType="begin"/>
      </w:r>
      <w:r>
        <w:rPr>
          <w:b w:val="0"/>
        </w:rPr>
        <w:instrText xml:space="preserve"> PAGEREF _Toc15751169 \h </w:instrText>
      </w:r>
      <w:r>
        <w:rPr>
          <w:b w:val="0"/>
        </w:rPr>
        <w:fldChar w:fldCharType="separate"/>
      </w:r>
      <w:r>
        <w:rPr>
          <w:b w:val="0"/>
        </w:rPr>
        <w:t>24</w:t>
      </w:r>
      <w:r>
        <w:rPr>
          <w:b w:val="0"/>
        </w:rPr>
        <w:fldChar w:fldCharType="end"/>
      </w:r>
      <w:r>
        <w:fldChar w:fldCharType="end"/>
      </w:r>
    </w:p>
    <w:p>
      <w:pPr>
        <w:pStyle w:val="11"/>
        <w:spacing w:beforeLines="50"/>
        <w:ind w:firstLine="480" w:firstLineChars="200"/>
        <w:rPr>
          <w:rStyle w:val="14"/>
          <w:color w:val="auto"/>
          <w:u w:val="none"/>
        </w:rPr>
      </w:pPr>
      <w:r>
        <w:rPr>
          <w:b w:val="0"/>
          <w:bCs/>
          <w:lang w:val="zh-CN"/>
        </w:rPr>
        <w:fldChar w:fldCharType="end"/>
      </w:r>
    </w:p>
    <w:p>
      <w:pPr>
        <w:spacing w:beforeLines="50" w:line="360" w:lineRule="auto"/>
        <w:ind w:firstLine="720" w:firstLineChars="200"/>
        <w:rPr>
          <w:rFonts w:ascii="黑体" w:hAnsi="黑体" w:eastAsia="黑体"/>
          <w:sz w:val="36"/>
        </w:rPr>
      </w:pPr>
    </w:p>
    <w:p>
      <w:pPr>
        <w:spacing w:beforeLines="50" w:line="360" w:lineRule="auto"/>
        <w:ind w:firstLine="720" w:firstLineChars="200"/>
        <w:rPr>
          <w:rFonts w:ascii="黑体" w:hAnsi="黑体" w:eastAsia="黑体"/>
          <w:sz w:val="36"/>
        </w:rPr>
        <w:sectPr>
          <w:footerReference r:id="rId4" w:type="default"/>
          <w:pgSz w:w="11906" w:h="16838"/>
          <w:pgMar w:top="1588" w:right="1814" w:bottom="1588" w:left="1814" w:header="851" w:footer="992" w:gutter="0"/>
          <w:pgNumType w:fmt="upperRoman" w:start="1"/>
          <w:cols w:space="425" w:num="1"/>
          <w:docGrid w:type="linesAndChars" w:linePitch="312"/>
        </w:sectPr>
      </w:pPr>
    </w:p>
    <w:p>
      <w:pPr>
        <w:pStyle w:val="2"/>
        <w:numPr>
          <w:ilvl w:val="0"/>
          <w:numId w:val="0"/>
        </w:numPr>
        <w:ind w:firstLine="482" w:firstLineChars="200"/>
      </w:pPr>
      <w:bookmarkStart w:id="0" w:name="_Toc15751145"/>
      <w:r>
        <w:rPr>
          <w:rFonts w:hint="eastAsia"/>
        </w:rPr>
        <w:t>一、工作简况</w:t>
      </w:r>
      <w:bookmarkEnd w:id="0"/>
    </w:p>
    <w:p>
      <w:pPr>
        <w:pStyle w:val="3"/>
      </w:pPr>
      <w:bookmarkStart w:id="1" w:name="_Toc516735495"/>
      <w:bookmarkStart w:id="2" w:name="_Toc15751146"/>
      <w:bookmarkStart w:id="3" w:name="_Toc13222571"/>
      <w:r>
        <w:rPr>
          <w:rFonts w:hint="eastAsia"/>
        </w:rPr>
        <w:t>（一）任务来源</w:t>
      </w:r>
      <w:bookmarkEnd w:id="1"/>
      <w:bookmarkEnd w:id="2"/>
      <w:bookmarkEnd w:id="3"/>
      <w:r>
        <w:rPr>
          <w:rFonts w:hint="eastAsia"/>
        </w:rPr>
        <w:t>。</w:t>
      </w:r>
    </w:p>
    <w:p>
      <w:pPr>
        <w:pStyle w:val="18"/>
        <w:spacing w:beforeLines="50"/>
        <w:ind w:firstLine="480"/>
        <w:jc w:val="both"/>
        <w:rPr>
          <w:sz w:val="24"/>
          <w:szCs w:val="24"/>
        </w:rPr>
      </w:pPr>
      <w:r>
        <w:rPr>
          <w:rFonts w:hint="eastAsia"/>
          <w:sz w:val="24"/>
          <w:szCs w:val="24"/>
        </w:rPr>
        <w:t>《油船洗舱作业安全技术要求》（JT 154-1994）的发布距今已有二十多年，随着IMO在1999年对MARPOL</w:t>
      </w:r>
      <w:r>
        <w:rPr>
          <w:sz w:val="24"/>
          <w:szCs w:val="24"/>
        </w:rPr>
        <w:t xml:space="preserve"> </w:t>
      </w:r>
      <w:r>
        <w:rPr>
          <w:rFonts w:hint="eastAsia"/>
          <w:sz w:val="24"/>
          <w:szCs w:val="24"/>
        </w:rPr>
        <w:t>73/78公约附则I第13B（2）条关于原油洗舱要求的修订，目前该标准内容已经无法适应国际公约的变化。同时，国内外油船洗舱作业技术水平、海事监管形势、相关法律、法规、标准等均发生了较大变化，原标准已经不能完全适应目前的形势需要，在完整性、科学性和可操作性方面都存在着不适应性。为此，对《油船洗舱作业安全技术要求》（JT</w:t>
      </w:r>
      <w:r>
        <w:rPr>
          <w:sz w:val="24"/>
          <w:szCs w:val="24"/>
        </w:rPr>
        <w:t xml:space="preserve"> </w:t>
      </w:r>
      <w:r>
        <w:rPr>
          <w:rFonts w:hint="eastAsia"/>
          <w:sz w:val="24"/>
          <w:szCs w:val="24"/>
        </w:rPr>
        <w:t>154-1994）进行修订显得非常必要和迫切。</w:t>
      </w:r>
    </w:p>
    <w:p>
      <w:pPr>
        <w:pStyle w:val="18"/>
        <w:spacing w:beforeLines="50"/>
        <w:ind w:firstLine="480"/>
        <w:jc w:val="both"/>
        <w:rPr>
          <w:sz w:val="24"/>
          <w:szCs w:val="24"/>
        </w:rPr>
      </w:pPr>
      <w:r>
        <w:rPr>
          <w:rFonts w:hint="eastAsia"/>
          <w:sz w:val="24"/>
          <w:szCs w:val="24"/>
        </w:rPr>
        <w:t>2016年，交通运输部将《油船洗舱作业安全技术要求》（JT</w:t>
      </w:r>
      <w:r>
        <w:rPr>
          <w:sz w:val="24"/>
          <w:szCs w:val="24"/>
        </w:rPr>
        <w:t xml:space="preserve"> </w:t>
      </w:r>
      <w:r>
        <w:rPr>
          <w:rFonts w:hint="eastAsia"/>
          <w:sz w:val="24"/>
          <w:szCs w:val="24"/>
        </w:rPr>
        <w:t>154-1994）的修订工作列入交通运输标准（定额）项目计划（计划编号：2016-13-116）。2017年，根据强标精简整合结论，考虑到油船洗舱作业对环境安全影响的风险性以及我国目前行业现状，《油船洗舱作业安全技术要求》申请制定强制性国家标准。2018年，《油船清洗舱安全作业要求》列入国家标准制定计划，计划编号：20183396-Q-348。</w:t>
      </w:r>
    </w:p>
    <w:p>
      <w:pPr>
        <w:pStyle w:val="18"/>
        <w:spacing w:beforeLines="50"/>
        <w:ind w:firstLine="480"/>
        <w:jc w:val="both"/>
        <w:rPr>
          <w:sz w:val="24"/>
          <w:szCs w:val="24"/>
        </w:rPr>
      </w:pPr>
      <w:r>
        <w:rPr>
          <w:rFonts w:hint="eastAsia"/>
          <w:sz w:val="24"/>
          <w:szCs w:val="24"/>
        </w:rPr>
        <w:t>本标准由大连海事大学和广东海事局承担起草工作。本标准由交通运输部提出并归口。</w:t>
      </w:r>
    </w:p>
    <w:p>
      <w:pPr>
        <w:pStyle w:val="3"/>
      </w:pPr>
      <w:bookmarkStart w:id="4" w:name="_Toc15751147"/>
      <w:bookmarkStart w:id="5" w:name="_Toc13222572"/>
      <w:bookmarkStart w:id="6" w:name="_Toc516735496"/>
      <w:r>
        <w:rPr>
          <w:rFonts w:hint="eastAsia"/>
        </w:rPr>
        <w:t>（二）主要工作过程</w:t>
      </w:r>
      <w:bookmarkEnd w:id="4"/>
      <w:bookmarkEnd w:id="5"/>
      <w:bookmarkEnd w:id="6"/>
      <w:r>
        <w:rPr>
          <w:rFonts w:hint="eastAsia"/>
        </w:rPr>
        <w:t>。</w:t>
      </w:r>
    </w:p>
    <w:p>
      <w:pPr>
        <w:pStyle w:val="18"/>
        <w:spacing w:beforeLines="50"/>
        <w:ind w:firstLine="480"/>
        <w:jc w:val="both"/>
        <w:rPr>
          <w:sz w:val="24"/>
          <w:szCs w:val="24"/>
        </w:rPr>
      </w:pPr>
      <w:r>
        <w:rPr>
          <w:rFonts w:hint="eastAsia"/>
          <w:sz w:val="24"/>
          <w:szCs w:val="24"/>
        </w:rPr>
        <w:t>1．2016年5月，《油船洗舱作业安全技术要求》（J</w:t>
      </w:r>
      <w:r>
        <w:rPr>
          <w:sz w:val="24"/>
          <w:szCs w:val="24"/>
        </w:rPr>
        <w:t>T 154-1994</w:t>
      </w:r>
      <w:r>
        <w:rPr>
          <w:rFonts w:hint="eastAsia"/>
          <w:sz w:val="24"/>
          <w:szCs w:val="24"/>
        </w:rPr>
        <w:t>）修订工作组正式立项。该项目由交通运输航海安全标准化技术委员会归口管理，广东海事局负责实施。大连海事大学、广东海事局等单位人员共同组成了标准编制课题组。</w:t>
      </w:r>
    </w:p>
    <w:p>
      <w:pPr>
        <w:pStyle w:val="18"/>
        <w:spacing w:beforeLines="50"/>
        <w:ind w:firstLine="480"/>
        <w:jc w:val="both"/>
        <w:rPr>
          <w:sz w:val="24"/>
          <w:szCs w:val="24"/>
        </w:rPr>
      </w:pPr>
      <w:r>
        <w:rPr>
          <w:rFonts w:hint="eastAsia"/>
          <w:sz w:val="24"/>
          <w:szCs w:val="24"/>
        </w:rPr>
        <w:t>2．2016年5月~2016年6月，标准编制组广泛收集了国内外与油船洗舱作业安全相关的政策法规、技术标准等资料，对相关情况进行了分析，提出了标准修订的原则、主要依据以及标准修订的方法，完成了标准修订工作研究大纲。</w:t>
      </w:r>
    </w:p>
    <w:p>
      <w:pPr>
        <w:pStyle w:val="18"/>
        <w:spacing w:beforeLines="50"/>
        <w:ind w:firstLine="480"/>
        <w:jc w:val="both"/>
        <w:rPr>
          <w:sz w:val="24"/>
          <w:szCs w:val="24"/>
        </w:rPr>
      </w:pPr>
      <w:r>
        <w:rPr>
          <w:rFonts w:hint="eastAsia"/>
          <w:sz w:val="24"/>
          <w:szCs w:val="24"/>
        </w:rPr>
        <w:t>3．2016年6月24日，在广东省清远市召开了标准编制大纲审查会，来自长江海事局、珠江航务管理局、中国船级社广州分社、中国长航南京油运股份有限公司、中海油轮运输有限公司广州公司等单位的专家学者参加了大纲审查会。与会专家一致同意研究大纲通过审查，并提出应进一步明确项目研究范围等意见。</w:t>
      </w:r>
    </w:p>
    <w:p>
      <w:pPr>
        <w:pStyle w:val="18"/>
        <w:spacing w:beforeLines="50"/>
        <w:ind w:firstLine="480"/>
        <w:jc w:val="both"/>
        <w:rPr>
          <w:sz w:val="24"/>
          <w:szCs w:val="24"/>
        </w:rPr>
      </w:pPr>
      <w:r>
        <w:rPr>
          <w:rFonts w:hint="eastAsia"/>
          <w:sz w:val="24"/>
          <w:szCs w:val="24"/>
        </w:rPr>
        <w:t>4．2016年6月~10月，标准编制组赴上海、南京、重庆等地针对我国油船洗舱作业开展调研，与中海油轮运输有限公司、中外运长航南京长江油运公司、中外运长航南京长江油运公司、重庆海事局等单位进行座谈和现场调研，了解我国相关洗舱作业现状、存在的主要风险、采取的主要措施以及对标准修订的建议及意见等。此外，标准编制组在国内相关图书馆、情报所、互联网等情报信息部门进行检索和数据收集，广泛查阅资料，获取相关必要信息。在广泛听取调研意见、研究收集资料基础上，结合我国的具体实际情况，本着法规体系的完整性和一致性、技术应用的适用性和可操作性、标准文本的统一性和规范性原则，标准编制组于2016年10月完成了《油船清洗舱安全作业要求》（内部征求意见稿）的编制，并完成修订说明、研究报告的编制。该修订稿主要对标准名称、标准目次、标准前言、标准适用范围、规范性引用文件、术语和定义、一般要求、洗舱、除气、应急反应等内容进行了修订。</w:t>
      </w:r>
    </w:p>
    <w:p>
      <w:pPr>
        <w:pStyle w:val="18"/>
        <w:spacing w:beforeLines="50"/>
        <w:ind w:firstLine="480"/>
        <w:jc w:val="both"/>
        <w:rPr>
          <w:sz w:val="24"/>
          <w:szCs w:val="24"/>
        </w:rPr>
      </w:pPr>
      <w:r>
        <w:rPr>
          <w:rFonts w:hint="eastAsia"/>
          <w:sz w:val="24"/>
          <w:szCs w:val="24"/>
        </w:rPr>
        <w:t>5．2016年10月19日，标准编制组在广东阳江召开标准（内部征求意见稿）专家审查会，来自珠江航务管理局、广东海事局、惠州海事局、东莞海事局、阳江海事局等单位的专家就标准（内部征求意见稿）的修订内容进行了全面评议，认为标准的编制符合GB/T</w:t>
      </w:r>
      <w:r>
        <w:rPr>
          <w:sz w:val="24"/>
          <w:szCs w:val="24"/>
        </w:rPr>
        <w:t xml:space="preserve"> </w:t>
      </w:r>
      <w:r>
        <w:rPr>
          <w:rFonts w:hint="eastAsia"/>
          <w:sz w:val="24"/>
          <w:szCs w:val="24"/>
        </w:rPr>
        <w:t>1.1-2009的有关规定，扩大了油船洗舱作业范围，填补了内河油船洗舱作业安全要求的空白，同时也对标准（内部征求意见稿）提出了相关修改意见。</w:t>
      </w:r>
    </w:p>
    <w:p>
      <w:pPr>
        <w:pStyle w:val="18"/>
        <w:spacing w:beforeLines="50"/>
        <w:ind w:firstLine="480"/>
        <w:jc w:val="both"/>
        <w:rPr>
          <w:sz w:val="24"/>
          <w:szCs w:val="24"/>
        </w:rPr>
      </w:pPr>
      <w:r>
        <w:rPr>
          <w:rFonts w:hint="eastAsia"/>
          <w:sz w:val="24"/>
          <w:szCs w:val="24"/>
        </w:rPr>
        <w:t>6．2016年10月~2017年5月，标准编制组根据标准（内部征求意见稿）专家审查意见，再赴东莞、珠海、桂山岛等地针对我国油船清洗舱作业展开进一步的调研，与东莞中远船务公司、东莞立沙岛石化区、珠海海事局、广州沙角海事处桂山办事处等单位进行座谈和现场调研，与企业科研人员、管理人员和一线操作人员进行了深入探讨，了解当地相关清洗舱作业现状、存在的主要风险、采取的主要措施以及对标准修订的建议及意见等。在综合专家审查意见、调研反馈意见基础上，结合国际通行做法，于2017年6月形成标准征求意见稿初稿。</w:t>
      </w:r>
    </w:p>
    <w:p>
      <w:pPr>
        <w:pStyle w:val="18"/>
        <w:spacing w:beforeLines="50"/>
        <w:ind w:firstLine="480"/>
        <w:jc w:val="both"/>
        <w:rPr>
          <w:sz w:val="24"/>
          <w:szCs w:val="24"/>
        </w:rPr>
      </w:pPr>
      <w:r>
        <w:rPr>
          <w:rFonts w:hint="eastAsia"/>
          <w:sz w:val="24"/>
          <w:szCs w:val="24"/>
        </w:rPr>
        <w:t>7．2017年6月，标准修订组在大连召开标准征求意见稿初稿研讨会，对标准内容进行了认真仔细的研讨，最终确定了标准征求意见稿初稿修改稿。</w:t>
      </w:r>
    </w:p>
    <w:p>
      <w:pPr>
        <w:pStyle w:val="18"/>
        <w:spacing w:beforeLines="50"/>
        <w:ind w:firstLine="480"/>
        <w:jc w:val="both"/>
        <w:rPr>
          <w:sz w:val="24"/>
          <w:szCs w:val="24"/>
        </w:rPr>
      </w:pPr>
      <w:r>
        <w:rPr>
          <w:rFonts w:hint="eastAsia"/>
          <w:sz w:val="24"/>
          <w:szCs w:val="24"/>
        </w:rPr>
        <w:t>8．2017年，考虑到油船洗舱作业对环境安全影响的风险性，交通运输部提请将《油船洗舱作业安全技术要求》调整为强制性国家标准。</w:t>
      </w:r>
    </w:p>
    <w:p>
      <w:pPr>
        <w:pStyle w:val="18"/>
        <w:spacing w:beforeLines="50"/>
        <w:ind w:firstLine="480"/>
        <w:jc w:val="both"/>
        <w:rPr>
          <w:sz w:val="24"/>
          <w:szCs w:val="24"/>
        </w:rPr>
      </w:pPr>
      <w:r>
        <w:rPr>
          <w:rFonts w:hint="eastAsia"/>
          <w:sz w:val="24"/>
          <w:szCs w:val="24"/>
        </w:rPr>
        <w:t>9．2018年2月~2018年5月，标准编制组根据强制性国家标准的相关要求，结合原工作基础，对《油船洗舱作业安全技术要求》进行了全面制订，最终形成《油船清洗舱安全作业要求》（征求意见稿）。</w:t>
      </w:r>
    </w:p>
    <w:p>
      <w:pPr>
        <w:pStyle w:val="3"/>
      </w:pPr>
      <w:bookmarkStart w:id="7" w:name="_Toc13222573"/>
      <w:bookmarkStart w:id="8" w:name="_Toc15751148"/>
      <w:bookmarkStart w:id="9" w:name="_Toc516735497"/>
      <w:r>
        <w:rPr>
          <w:rFonts w:hint="eastAsia"/>
        </w:rPr>
        <w:t>（三）标准主要起草人及其所做的工作</w:t>
      </w:r>
      <w:bookmarkEnd w:id="7"/>
      <w:bookmarkEnd w:id="8"/>
      <w:bookmarkEnd w:id="9"/>
      <w:r>
        <w:rPr>
          <w:rFonts w:hint="eastAsia"/>
        </w:rPr>
        <w:t>。</w:t>
      </w:r>
    </w:p>
    <w:p>
      <w:pPr>
        <w:pStyle w:val="18"/>
        <w:spacing w:beforeLines="50"/>
        <w:ind w:firstLine="480"/>
        <w:jc w:val="both"/>
        <w:rPr>
          <w:sz w:val="24"/>
          <w:szCs w:val="24"/>
        </w:rPr>
      </w:pPr>
      <w:r>
        <w:rPr>
          <w:rFonts w:hint="eastAsia"/>
          <w:sz w:val="24"/>
          <w:szCs w:val="24"/>
        </w:rPr>
        <w:t>标准主要起草人：吴宛青、王欢、向元京、周笑怡、李立、黄连忠、郑庆功、陈良、李卫山。上述同志承担的主要工作如下：</w:t>
      </w:r>
    </w:p>
    <w:p>
      <w:pPr>
        <w:pStyle w:val="18"/>
        <w:spacing w:beforeLines="50"/>
        <w:ind w:firstLine="0" w:firstLineChars="0"/>
        <w:jc w:val="center"/>
        <w:rPr>
          <w:rFonts w:ascii="黑体" w:hAnsi="黑体" w:eastAsia="黑体"/>
          <w:sz w:val="24"/>
          <w:szCs w:val="24"/>
        </w:rPr>
      </w:pPr>
      <w:r>
        <w:rPr>
          <w:rFonts w:hint="eastAsia" w:ascii="黑体" w:hAnsi="黑体" w:eastAsia="黑体"/>
          <w:sz w:val="24"/>
          <w:szCs w:val="24"/>
        </w:rPr>
        <w:t>表</w:t>
      </w:r>
      <w:r>
        <w:rPr>
          <w:rFonts w:eastAsia="黑体" w:cs="Times New Roman"/>
          <w:sz w:val="24"/>
          <w:szCs w:val="24"/>
        </w:rPr>
        <w:t>1.1</w:t>
      </w:r>
      <w:r>
        <w:rPr>
          <w:rFonts w:ascii="黑体" w:hAnsi="黑体" w:eastAsia="黑体"/>
          <w:sz w:val="24"/>
          <w:szCs w:val="24"/>
        </w:rPr>
        <w:t xml:space="preserve">  </w:t>
      </w:r>
      <w:r>
        <w:rPr>
          <w:rFonts w:hint="eastAsia" w:ascii="黑体" w:hAnsi="黑体" w:eastAsia="黑体"/>
          <w:sz w:val="24"/>
          <w:szCs w:val="24"/>
        </w:rPr>
        <w:t>工作分担表</w:t>
      </w:r>
    </w:p>
    <w:tbl>
      <w:tblPr>
        <w:tblW w:w="80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851"/>
        <w:gridCol w:w="1559"/>
        <w:gridCol w:w="4961"/>
      </w:tblGrid>
      <w:tr>
        <w:trPr>
          <w:jc w:val="center"/>
        </w:trPr>
        <w:tc>
          <w:tcPr>
            <w:tcW w:w="709" w:type="dxa"/>
            <w:vAlign w:val="top"/>
          </w:tcPr>
          <w:p>
            <w:pPr>
              <w:pStyle w:val="18"/>
              <w:ind w:firstLine="0" w:firstLineChars="0"/>
              <w:jc w:val="center"/>
              <w:rPr>
                <w:b/>
                <w:sz w:val="21"/>
                <w:szCs w:val="21"/>
              </w:rPr>
            </w:pPr>
            <w:bookmarkStart w:id="10" w:name="_Toc15751149"/>
            <w:r>
              <w:rPr>
                <w:rFonts w:hint="eastAsia"/>
                <w:b/>
                <w:sz w:val="21"/>
                <w:szCs w:val="21"/>
              </w:rPr>
              <w:t>序号</w:t>
            </w:r>
          </w:p>
        </w:tc>
        <w:tc>
          <w:tcPr>
            <w:tcW w:w="851" w:type="dxa"/>
            <w:vAlign w:val="top"/>
          </w:tcPr>
          <w:p>
            <w:pPr>
              <w:pStyle w:val="18"/>
              <w:ind w:firstLine="0" w:firstLineChars="0"/>
              <w:jc w:val="center"/>
              <w:rPr>
                <w:b/>
                <w:sz w:val="21"/>
                <w:szCs w:val="21"/>
              </w:rPr>
            </w:pPr>
            <w:r>
              <w:rPr>
                <w:rFonts w:hint="eastAsia"/>
                <w:b/>
                <w:sz w:val="21"/>
                <w:szCs w:val="21"/>
              </w:rPr>
              <w:t>姓名</w:t>
            </w:r>
          </w:p>
        </w:tc>
        <w:tc>
          <w:tcPr>
            <w:tcW w:w="1559" w:type="dxa"/>
            <w:vAlign w:val="top"/>
          </w:tcPr>
          <w:p>
            <w:pPr>
              <w:pStyle w:val="18"/>
              <w:ind w:firstLine="0" w:firstLineChars="0"/>
              <w:jc w:val="center"/>
              <w:rPr>
                <w:b/>
                <w:sz w:val="21"/>
                <w:szCs w:val="21"/>
              </w:rPr>
            </w:pPr>
            <w:r>
              <w:rPr>
                <w:rFonts w:hint="eastAsia"/>
                <w:b/>
                <w:sz w:val="21"/>
                <w:szCs w:val="21"/>
              </w:rPr>
              <w:t>单位</w:t>
            </w:r>
          </w:p>
        </w:tc>
        <w:tc>
          <w:tcPr>
            <w:tcW w:w="4961" w:type="dxa"/>
            <w:vAlign w:val="top"/>
          </w:tcPr>
          <w:p>
            <w:pPr>
              <w:pStyle w:val="18"/>
              <w:ind w:firstLine="0" w:firstLineChars="0"/>
              <w:jc w:val="center"/>
              <w:rPr>
                <w:b/>
                <w:sz w:val="21"/>
                <w:szCs w:val="21"/>
              </w:rPr>
            </w:pPr>
            <w:r>
              <w:rPr>
                <w:rFonts w:hint="eastAsia"/>
                <w:b/>
                <w:sz w:val="21"/>
                <w:szCs w:val="21"/>
              </w:rPr>
              <w:t>具体承担工作</w:t>
            </w:r>
          </w:p>
        </w:tc>
      </w:tr>
      <w:tr>
        <w:trPr>
          <w:jc w:val="center"/>
        </w:trPr>
        <w:tc>
          <w:tcPr>
            <w:tcW w:w="709" w:type="dxa"/>
            <w:vAlign w:val="top"/>
          </w:tcPr>
          <w:p>
            <w:pPr>
              <w:pStyle w:val="18"/>
              <w:ind w:firstLine="0" w:firstLineChars="0"/>
              <w:jc w:val="center"/>
              <w:rPr>
                <w:sz w:val="21"/>
                <w:szCs w:val="21"/>
              </w:rPr>
            </w:pPr>
            <w:r>
              <w:rPr>
                <w:rFonts w:hint="eastAsia"/>
                <w:sz w:val="21"/>
                <w:szCs w:val="21"/>
              </w:rPr>
              <w:t>1</w:t>
            </w:r>
          </w:p>
        </w:tc>
        <w:tc>
          <w:tcPr>
            <w:tcW w:w="851" w:type="dxa"/>
            <w:vAlign w:val="top"/>
          </w:tcPr>
          <w:p>
            <w:pPr>
              <w:pStyle w:val="18"/>
              <w:ind w:firstLine="0" w:firstLineChars="0"/>
              <w:jc w:val="center"/>
              <w:rPr>
                <w:sz w:val="21"/>
                <w:szCs w:val="21"/>
              </w:rPr>
            </w:pPr>
            <w:r>
              <w:rPr>
                <w:rFonts w:hint="eastAsia"/>
                <w:sz w:val="21"/>
                <w:szCs w:val="21"/>
              </w:rPr>
              <w:t>吴宛青</w:t>
            </w:r>
          </w:p>
        </w:tc>
        <w:tc>
          <w:tcPr>
            <w:tcW w:w="1559" w:type="dxa"/>
            <w:vAlign w:val="top"/>
          </w:tcPr>
          <w:p>
            <w:pPr>
              <w:pStyle w:val="18"/>
              <w:ind w:firstLine="0" w:firstLineChars="0"/>
              <w:jc w:val="center"/>
              <w:rPr>
                <w:sz w:val="21"/>
                <w:szCs w:val="21"/>
              </w:rPr>
            </w:pPr>
            <w:r>
              <w:rPr>
                <w:rFonts w:hint="eastAsia"/>
                <w:sz w:val="21"/>
                <w:szCs w:val="21"/>
              </w:rPr>
              <w:t>大连海事大学</w:t>
            </w:r>
          </w:p>
        </w:tc>
        <w:tc>
          <w:tcPr>
            <w:tcW w:w="4961" w:type="dxa"/>
            <w:vAlign w:val="top"/>
          </w:tcPr>
          <w:p>
            <w:pPr>
              <w:pStyle w:val="18"/>
              <w:ind w:firstLine="0" w:firstLineChars="0"/>
              <w:jc w:val="both"/>
              <w:rPr>
                <w:sz w:val="21"/>
                <w:szCs w:val="21"/>
              </w:rPr>
            </w:pPr>
            <w:r>
              <w:rPr>
                <w:rFonts w:hint="eastAsia"/>
                <w:sz w:val="21"/>
                <w:szCs w:val="21"/>
              </w:rPr>
              <w:t>标准的调研、起草、组织、协调，标准编制具体执笔</w:t>
            </w:r>
          </w:p>
        </w:tc>
      </w:tr>
      <w:tr>
        <w:trPr>
          <w:jc w:val="center"/>
        </w:trPr>
        <w:tc>
          <w:tcPr>
            <w:tcW w:w="709" w:type="dxa"/>
            <w:vAlign w:val="top"/>
          </w:tcPr>
          <w:p>
            <w:pPr>
              <w:pStyle w:val="18"/>
              <w:ind w:firstLine="0" w:firstLineChars="0"/>
              <w:jc w:val="center"/>
              <w:rPr>
                <w:sz w:val="21"/>
                <w:szCs w:val="21"/>
              </w:rPr>
            </w:pPr>
            <w:r>
              <w:rPr>
                <w:rFonts w:hint="eastAsia"/>
                <w:sz w:val="21"/>
                <w:szCs w:val="21"/>
              </w:rPr>
              <w:t>2</w:t>
            </w:r>
          </w:p>
        </w:tc>
        <w:tc>
          <w:tcPr>
            <w:tcW w:w="851" w:type="dxa"/>
            <w:vAlign w:val="top"/>
          </w:tcPr>
          <w:p>
            <w:pPr>
              <w:pStyle w:val="18"/>
              <w:ind w:firstLine="0" w:firstLineChars="0"/>
              <w:jc w:val="center"/>
              <w:rPr>
                <w:sz w:val="21"/>
                <w:szCs w:val="21"/>
              </w:rPr>
            </w:pPr>
            <w:r>
              <w:rPr>
                <w:rFonts w:hint="eastAsia"/>
                <w:sz w:val="21"/>
                <w:szCs w:val="21"/>
              </w:rPr>
              <w:t xml:space="preserve">王 </w:t>
            </w:r>
            <w:r>
              <w:rPr>
                <w:sz w:val="21"/>
                <w:szCs w:val="21"/>
              </w:rPr>
              <w:t xml:space="preserve"> </w:t>
            </w:r>
            <w:r>
              <w:rPr>
                <w:rFonts w:hint="eastAsia"/>
                <w:sz w:val="21"/>
                <w:szCs w:val="21"/>
              </w:rPr>
              <w:t>欢</w:t>
            </w:r>
          </w:p>
        </w:tc>
        <w:tc>
          <w:tcPr>
            <w:tcW w:w="1559" w:type="dxa"/>
            <w:vAlign w:val="top"/>
          </w:tcPr>
          <w:p>
            <w:pPr>
              <w:pStyle w:val="18"/>
              <w:ind w:firstLine="0" w:firstLineChars="0"/>
              <w:jc w:val="center"/>
              <w:rPr>
                <w:sz w:val="21"/>
                <w:szCs w:val="21"/>
              </w:rPr>
            </w:pPr>
            <w:r>
              <w:rPr>
                <w:rFonts w:hint="eastAsia"/>
                <w:sz w:val="21"/>
                <w:szCs w:val="21"/>
              </w:rPr>
              <w:t>广东海事局</w:t>
            </w:r>
          </w:p>
        </w:tc>
        <w:tc>
          <w:tcPr>
            <w:tcW w:w="4961" w:type="dxa"/>
            <w:vAlign w:val="top"/>
          </w:tcPr>
          <w:p>
            <w:pPr>
              <w:pStyle w:val="18"/>
              <w:ind w:firstLine="0" w:firstLineChars="0"/>
              <w:jc w:val="both"/>
              <w:rPr>
                <w:sz w:val="21"/>
                <w:szCs w:val="21"/>
              </w:rPr>
            </w:pPr>
            <w:r>
              <w:rPr>
                <w:rFonts w:hint="eastAsia"/>
                <w:sz w:val="21"/>
                <w:szCs w:val="21"/>
              </w:rPr>
              <w:t>标准的调研、起草</w:t>
            </w:r>
          </w:p>
        </w:tc>
      </w:tr>
      <w:tr>
        <w:trPr>
          <w:jc w:val="center"/>
        </w:trPr>
        <w:tc>
          <w:tcPr>
            <w:tcW w:w="709" w:type="dxa"/>
            <w:vAlign w:val="top"/>
          </w:tcPr>
          <w:p>
            <w:pPr>
              <w:pStyle w:val="18"/>
              <w:ind w:firstLine="0" w:firstLineChars="0"/>
              <w:jc w:val="center"/>
              <w:rPr>
                <w:sz w:val="21"/>
                <w:szCs w:val="21"/>
              </w:rPr>
            </w:pPr>
            <w:r>
              <w:rPr>
                <w:rFonts w:hint="eastAsia"/>
                <w:sz w:val="21"/>
                <w:szCs w:val="21"/>
              </w:rPr>
              <w:t>3</w:t>
            </w:r>
          </w:p>
        </w:tc>
        <w:tc>
          <w:tcPr>
            <w:tcW w:w="851" w:type="dxa"/>
            <w:vAlign w:val="top"/>
          </w:tcPr>
          <w:p>
            <w:pPr>
              <w:pStyle w:val="18"/>
              <w:ind w:firstLine="0" w:firstLineChars="0"/>
              <w:jc w:val="center"/>
              <w:rPr>
                <w:sz w:val="21"/>
                <w:szCs w:val="21"/>
              </w:rPr>
            </w:pPr>
            <w:r>
              <w:rPr>
                <w:rFonts w:hint="eastAsia"/>
                <w:sz w:val="21"/>
                <w:szCs w:val="21"/>
              </w:rPr>
              <w:t>向元京</w:t>
            </w:r>
          </w:p>
        </w:tc>
        <w:tc>
          <w:tcPr>
            <w:tcW w:w="1559" w:type="dxa"/>
            <w:vAlign w:val="top"/>
          </w:tcPr>
          <w:p>
            <w:pPr>
              <w:pStyle w:val="18"/>
              <w:ind w:firstLine="0" w:firstLineChars="0"/>
              <w:jc w:val="center"/>
              <w:rPr>
                <w:sz w:val="21"/>
                <w:szCs w:val="21"/>
              </w:rPr>
            </w:pPr>
            <w:r>
              <w:rPr>
                <w:rFonts w:hint="eastAsia"/>
                <w:sz w:val="21"/>
                <w:szCs w:val="21"/>
              </w:rPr>
              <w:t>广东海事局</w:t>
            </w:r>
          </w:p>
        </w:tc>
        <w:tc>
          <w:tcPr>
            <w:tcW w:w="4961" w:type="dxa"/>
            <w:vAlign w:val="top"/>
          </w:tcPr>
          <w:p>
            <w:pPr>
              <w:pStyle w:val="18"/>
              <w:ind w:firstLine="0" w:firstLineChars="0"/>
              <w:jc w:val="both"/>
              <w:rPr>
                <w:sz w:val="21"/>
                <w:szCs w:val="21"/>
              </w:rPr>
            </w:pPr>
            <w:r>
              <w:rPr>
                <w:rFonts w:hint="eastAsia"/>
                <w:sz w:val="21"/>
                <w:szCs w:val="21"/>
              </w:rPr>
              <w:t>标准的调研、起草</w:t>
            </w:r>
          </w:p>
        </w:tc>
      </w:tr>
      <w:tr>
        <w:trPr>
          <w:jc w:val="center"/>
        </w:trPr>
        <w:tc>
          <w:tcPr>
            <w:tcW w:w="709" w:type="dxa"/>
            <w:vAlign w:val="top"/>
          </w:tcPr>
          <w:p>
            <w:pPr>
              <w:pStyle w:val="18"/>
              <w:ind w:firstLine="0" w:firstLineChars="0"/>
              <w:jc w:val="center"/>
              <w:rPr>
                <w:sz w:val="21"/>
                <w:szCs w:val="21"/>
              </w:rPr>
            </w:pPr>
            <w:r>
              <w:rPr>
                <w:rFonts w:hint="eastAsia"/>
                <w:sz w:val="21"/>
                <w:szCs w:val="21"/>
              </w:rPr>
              <w:t>4</w:t>
            </w:r>
          </w:p>
        </w:tc>
        <w:tc>
          <w:tcPr>
            <w:tcW w:w="851" w:type="dxa"/>
            <w:vAlign w:val="top"/>
          </w:tcPr>
          <w:p>
            <w:pPr>
              <w:pStyle w:val="18"/>
              <w:ind w:firstLine="0" w:firstLineChars="0"/>
              <w:jc w:val="center"/>
              <w:rPr>
                <w:sz w:val="21"/>
                <w:szCs w:val="21"/>
              </w:rPr>
            </w:pPr>
            <w:r>
              <w:rPr>
                <w:rFonts w:hint="eastAsia"/>
                <w:sz w:val="21"/>
                <w:szCs w:val="21"/>
              </w:rPr>
              <w:t>周笑怡</w:t>
            </w:r>
          </w:p>
        </w:tc>
        <w:tc>
          <w:tcPr>
            <w:tcW w:w="1559" w:type="dxa"/>
            <w:vAlign w:val="top"/>
          </w:tcPr>
          <w:p>
            <w:pPr>
              <w:pStyle w:val="18"/>
              <w:ind w:firstLine="0" w:firstLineChars="0"/>
              <w:jc w:val="center"/>
              <w:rPr>
                <w:sz w:val="21"/>
                <w:szCs w:val="21"/>
              </w:rPr>
            </w:pPr>
            <w:r>
              <w:rPr>
                <w:rFonts w:hint="eastAsia"/>
                <w:sz w:val="21"/>
                <w:szCs w:val="21"/>
              </w:rPr>
              <w:t>广东海事局</w:t>
            </w:r>
          </w:p>
        </w:tc>
        <w:tc>
          <w:tcPr>
            <w:tcW w:w="4961" w:type="dxa"/>
            <w:vAlign w:val="top"/>
          </w:tcPr>
          <w:p>
            <w:pPr>
              <w:pStyle w:val="18"/>
              <w:ind w:firstLine="0" w:firstLineChars="0"/>
              <w:jc w:val="both"/>
              <w:rPr>
                <w:sz w:val="21"/>
                <w:szCs w:val="21"/>
              </w:rPr>
            </w:pPr>
            <w:r>
              <w:rPr>
                <w:rFonts w:hint="eastAsia"/>
                <w:sz w:val="21"/>
                <w:szCs w:val="21"/>
              </w:rPr>
              <w:t>标准的调研、起草</w:t>
            </w:r>
          </w:p>
        </w:tc>
      </w:tr>
      <w:tr>
        <w:trPr>
          <w:jc w:val="center"/>
        </w:trPr>
        <w:tc>
          <w:tcPr>
            <w:tcW w:w="709" w:type="dxa"/>
            <w:vAlign w:val="top"/>
          </w:tcPr>
          <w:p>
            <w:pPr>
              <w:pStyle w:val="18"/>
              <w:ind w:firstLine="0" w:firstLineChars="0"/>
              <w:jc w:val="center"/>
              <w:rPr>
                <w:sz w:val="21"/>
                <w:szCs w:val="21"/>
              </w:rPr>
            </w:pPr>
            <w:r>
              <w:rPr>
                <w:rFonts w:hint="eastAsia"/>
                <w:sz w:val="21"/>
                <w:szCs w:val="21"/>
              </w:rPr>
              <w:t>5</w:t>
            </w:r>
          </w:p>
        </w:tc>
        <w:tc>
          <w:tcPr>
            <w:tcW w:w="851" w:type="dxa"/>
            <w:vAlign w:val="top"/>
          </w:tcPr>
          <w:p>
            <w:pPr>
              <w:pStyle w:val="18"/>
              <w:ind w:firstLine="0" w:firstLineChars="0"/>
              <w:jc w:val="center"/>
              <w:rPr>
                <w:sz w:val="21"/>
                <w:szCs w:val="21"/>
              </w:rPr>
            </w:pPr>
            <w:r>
              <w:rPr>
                <w:rFonts w:hint="eastAsia"/>
                <w:sz w:val="21"/>
                <w:szCs w:val="21"/>
              </w:rPr>
              <w:t xml:space="preserve">李 </w:t>
            </w:r>
            <w:r>
              <w:rPr>
                <w:sz w:val="21"/>
                <w:szCs w:val="21"/>
              </w:rPr>
              <w:t xml:space="preserve"> </w:t>
            </w:r>
            <w:r>
              <w:rPr>
                <w:rFonts w:hint="eastAsia"/>
                <w:sz w:val="21"/>
                <w:szCs w:val="21"/>
              </w:rPr>
              <w:t>立</w:t>
            </w:r>
          </w:p>
        </w:tc>
        <w:tc>
          <w:tcPr>
            <w:tcW w:w="1559" w:type="dxa"/>
            <w:vAlign w:val="top"/>
          </w:tcPr>
          <w:p>
            <w:pPr>
              <w:pStyle w:val="18"/>
              <w:ind w:firstLine="0" w:firstLineChars="0"/>
              <w:jc w:val="center"/>
              <w:rPr>
                <w:sz w:val="21"/>
                <w:szCs w:val="21"/>
              </w:rPr>
            </w:pPr>
            <w:r>
              <w:rPr>
                <w:rFonts w:hint="eastAsia"/>
                <w:sz w:val="21"/>
                <w:szCs w:val="21"/>
              </w:rPr>
              <w:t>广东海事局</w:t>
            </w:r>
          </w:p>
        </w:tc>
        <w:tc>
          <w:tcPr>
            <w:tcW w:w="4961" w:type="dxa"/>
            <w:vAlign w:val="top"/>
          </w:tcPr>
          <w:p>
            <w:pPr>
              <w:pStyle w:val="18"/>
              <w:ind w:firstLine="0" w:firstLineChars="0"/>
              <w:jc w:val="both"/>
              <w:rPr>
                <w:sz w:val="21"/>
                <w:szCs w:val="21"/>
              </w:rPr>
            </w:pPr>
            <w:r>
              <w:rPr>
                <w:rFonts w:hint="eastAsia"/>
                <w:sz w:val="21"/>
                <w:szCs w:val="21"/>
              </w:rPr>
              <w:t>标准编制的相关组织、协调</w:t>
            </w:r>
          </w:p>
        </w:tc>
      </w:tr>
      <w:tr>
        <w:trPr>
          <w:jc w:val="center"/>
        </w:trPr>
        <w:tc>
          <w:tcPr>
            <w:tcW w:w="709" w:type="dxa"/>
            <w:vAlign w:val="top"/>
          </w:tcPr>
          <w:p>
            <w:pPr>
              <w:pStyle w:val="18"/>
              <w:ind w:firstLine="0" w:firstLineChars="0"/>
              <w:jc w:val="center"/>
              <w:rPr>
                <w:sz w:val="21"/>
                <w:szCs w:val="21"/>
              </w:rPr>
            </w:pPr>
            <w:r>
              <w:rPr>
                <w:rFonts w:hint="eastAsia"/>
                <w:sz w:val="21"/>
                <w:szCs w:val="21"/>
              </w:rPr>
              <w:t>6</w:t>
            </w:r>
          </w:p>
        </w:tc>
        <w:tc>
          <w:tcPr>
            <w:tcW w:w="851" w:type="dxa"/>
            <w:vAlign w:val="top"/>
          </w:tcPr>
          <w:p>
            <w:pPr>
              <w:pStyle w:val="18"/>
              <w:ind w:firstLine="0" w:firstLineChars="0"/>
              <w:jc w:val="center"/>
              <w:rPr>
                <w:sz w:val="21"/>
                <w:szCs w:val="21"/>
              </w:rPr>
            </w:pPr>
            <w:r>
              <w:rPr>
                <w:rFonts w:hint="eastAsia"/>
                <w:sz w:val="21"/>
                <w:szCs w:val="21"/>
              </w:rPr>
              <w:t>黄连忠</w:t>
            </w:r>
          </w:p>
        </w:tc>
        <w:tc>
          <w:tcPr>
            <w:tcW w:w="1559" w:type="dxa"/>
            <w:vAlign w:val="top"/>
          </w:tcPr>
          <w:p>
            <w:pPr>
              <w:pStyle w:val="18"/>
              <w:ind w:firstLine="0" w:firstLineChars="0"/>
              <w:jc w:val="center"/>
              <w:rPr>
                <w:sz w:val="21"/>
                <w:szCs w:val="21"/>
              </w:rPr>
            </w:pPr>
            <w:r>
              <w:rPr>
                <w:rFonts w:hint="eastAsia"/>
                <w:sz w:val="21"/>
                <w:szCs w:val="21"/>
              </w:rPr>
              <w:t>大连海事大学</w:t>
            </w:r>
          </w:p>
        </w:tc>
        <w:tc>
          <w:tcPr>
            <w:tcW w:w="4961" w:type="dxa"/>
            <w:vAlign w:val="top"/>
          </w:tcPr>
          <w:p>
            <w:pPr>
              <w:pStyle w:val="18"/>
              <w:ind w:firstLine="0" w:firstLineChars="0"/>
              <w:jc w:val="both"/>
              <w:rPr>
                <w:sz w:val="21"/>
                <w:szCs w:val="21"/>
              </w:rPr>
            </w:pPr>
            <w:r>
              <w:rPr>
                <w:rFonts w:hint="eastAsia"/>
                <w:sz w:val="21"/>
                <w:szCs w:val="21"/>
              </w:rPr>
              <w:t>标准的调研、起草</w:t>
            </w:r>
          </w:p>
        </w:tc>
      </w:tr>
      <w:tr>
        <w:trPr>
          <w:jc w:val="center"/>
        </w:trPr>
        <w:tc>
          <w:tcPr>
            <w:tcW w:w="709" w:type="dxa"/>
            <w:vAlign w:val="top"/>
          </w:tcPr>
          <w:p>
            <w:pPr>
              <w:pStyle w:val="18"/>
              <w:ind w:firstLine="0" w:firstLineChars="0"/>
              <w:jc w:val="center"/>
              <w:rPr>
                <w:sz w:val="21"/>
                <w:szCs w:val="21"/>
              </w:rPr>
            </w:pPr>
            <w:r>
              <w:rPr>
                <w:rFonts w:hint="eastAsia"/>
                <w:sz w:val="21"/>
                <w:szCs w:val="21"/>
              </w:rPr>
              <w:t>7</w:t>
            </w:r>
          </w:p>
        </w:tc>
        <w:tc>
          <w:tcPr>
            <w:tcW w:w="851" w:type="dxa"/>
            <w:vAlign w:val="top"/>
          </w:tcPr>
          <w:p>
            <w:pPr>
              <w:pStyle w:val="18"/>
              <w:ind w:firstLine="0" w:firstLineChars="0"/>
              <w:jc w:val="center"/>
              <w:rPr>
                <w:sz w:val="21"/>
                <w:szCs w:val="21"/>
              </w:rPr>
            </w:pPr>
            <w:r>
              <w:rPr>
                <w:rFonts w:hint="eastAsia"/>
                <w:sz w:val="21"/>
                <w:szCs w:val="21"/>
              </w:rPr>
              <w:t>郑庆功</w:t>
            </w:r>
          </w:p>
        </w:tc>
        <w:tc>
          <w:tcPr>
            <w:tcW w:w="1559" w:type="dxa"/>
            <w:vAlign w:val="top"/>
          </w:tcPr>
          <w:p>
            <w:pPr>
              <w:pStyle w:val="18"/>
              <w:ind w:firstLine="0" w:firstLineChars="0"/>
              <w:jc w:val="center"/>
              <w:rPr>
                <w:sz w:val="21"/>
                <w:szCs w:val="21"/>
              </w:rPr>
            </w:pPr>
            <w:r>
              <w:rPr>
                <w:rFonts w:hint="eastAsia"/>
                <w:sz w:val="21"/>
                <w:szCs w:val="21"/>
              </w:rPr>
              <w:t>大连海事大学</w:t>
            </w:r>
          </w:p>
        </w:tc>
        <w:tc>
          <w:tcPr>
            <w:tcW w:w="4961" w:type="dxa"/>
            <w:vAlign w:val="top"/>
          </w:tcPr>
          <w:p>
            <w:pPr>
              <w:pStyle w:val="18"/>
              <w:ind w:firstLine="0" w:firstLineChars="0"/>
              <w:jc w:val="both"/>
              <w:rPr>
                <w:sz w:val="21"/>
                <w:szCs w:val="21"/>
              </w:rPr>
            </w:pPr>
            <w:r>
              <w:rPr>
                <w:rFonts w:hint="eastAsia"/>
                <w:sz w:val="21"/>
                <w:szCs w:val="21"/>
              </w:rPr>
              <w:t>标准相关编制辅助工作</w:t>
            </w:r>
          </w:p>
        </w:tc>
      </w:tr>
      <w:tr>
        <w:trPr>
          <w:jc w:val="center"/>
        </w:trPr>
        <w:tc>
          <w:tcPr>
            <w:tcW w:w="709" w:type="dxa"/>
            <w:vAlign w:val="top"/>
          </w:tcPr>
          <w:p>
            <w:pPr>
              <w:pStyle w:val="18"/>
              <w:ind w:firstLine="0" w:firstLineChars="0"/>
              <w:jc w:val="center"/>
              <w:rPr>
                <w:sz w:val="21"/>
                <w:szCs w:val="21"/>
              </w:rPr>
            </w:pPr>
            <w:r>
              <w:rPr>
                <w:rFonts w:hint="eastAsia"/>
                <w:sz w:val="21"/>
                <w:szCs w:val="21"/>
              </w:rPr>
              <w:t>8</w:t>
            </w:r>
          </w:p>
        </w:tc>
        <w:tc>
          <w:tcPr>
            <w:tcW w:w="851" w:type="dxa"/>
            <w:vAlign w:val="top"/>
          </w:tcPr>
          <w:p>
            <w:pPr>
              <w:pStyle w:val="18"/>
              <w:ind w:firstLine="0" w:firstLineChars="0"/>
              <w:jc w:val="center"/>
              <w:rPr>
                <w:sz w:val="21"/>
                <w:szCs w:val="21"/>
              </w:rPr>
            </w:pPr>
            <w:r>
              <w:rPr>
                <w:rFonts w:hint="eastAsia"/>
                <w:sz w:val="21"/>
                <w:szCs w:val="21"/>
              </w:rPr>
              <w:t xml:space="preserve">陈 </w:t>
            </w:r>
            <w:r>
              <w:rPr>
                <w:sz w:val="21"/>
                <w:szCs w:val="21"/>
              </w:rPr>
              <w:t xml:space="preserve"> </w:t>
            </w:r>
            <w:r>
              <w:rPr>
                <w:rFonts w:hint="eastAsia"/>
                <w:sz w:val="21"/>
                <w:szCs w:val="21"/>
              </w:rPr>
              <w:t>良</w:t>
            </w:r>
          </w:p>
        </w:tc>
        <w:tc>
          <w:tcPr>
            <w:tcW w:w="1559" w:type="dxa"/>
            <w:vAlign w:val="top"/>
          </w:tcPr>
          <w:p>
            <w:pPr>
              <w:pStyle w:val="18"/>
              <w:ind w:firstLine="0" w:firstLineChars="0"/>
              <w:jc w:val="center"/>
              <w:rPr>
                <w:sz w:val="21"/>
                <w:szCs w:val="21"/>
              </w:rPr>
            </w:pPr>
            <w:r>
              <w:rPr>
                <w:rFonts w:hint="eastAsia"/>
                <w:sz w:val="21"/>
                <w:szCs w:val="21"/>
              </w:rPr>
              <w:t>中国船级社</w:t>
            </w:r>
          </w:p>
        </w:tc>
        <w:tc>
          <w:tcPr>
            <w:tcW w:w="4961" w:type="dxa"/>
            <w:vAlign w:val="top"/>
          </w:tcPr>
          <w:p>
            <w:pPr>
              <w:pStyle w:val="18"/>
              <w:ind w:firstLine="0" w:firstLineChars="0"/>
              <w:jc w:val="both"/>
              <w:rPr>
                <w:sz w:val="21"/>
                <w:szCs w:val="21"/>
              </w:rPr>
            </w:pPr>
            <w:r>
              <w:rPr>
                <w:rFonts w:hint="eastAsia"/>
                <w:sz w:val="21"/>
                <w:szCs w:val="21"/>
              </w:rPr>
              <w:t>标准的起草</w:t>
            </w:r>
          </w:p>
        </w:tc>
      </w:tr>
      <w:tr>
        <w:trPr>
          <w:jc w:val="center"/>
        </w:trPr>
        <w:tc>
          <w:tcPr>
            <w:tcW w:w="709" w:type="dxa"/>
            <w:vAlign w:val="top"/>
          </w:tcPr>
          <w:p>
            <w:pPr>
              <w:pStyle w:val="18"/>
              <w:ind w:firstLine="0" w:firstLineChars="0"/>
              <w:jc w:val="center"/>
              <w:rPr>
                <w:sz w:val="21"/>
                <w:szCs w:val="21"/>
              </w:rPr>
            </w:pPr>
            <w:r>
              <w:rPr>
                <w:rFonts w:hint="eastAsia"/>
                <w:sz w:val="21"/>
                <w:szCs w:val="21"/>
              </w:rPr>
              <w:t>9</w:t>
            </w:r>
          </w:p>
        </w:tc>
        <w:tc>
          <w:tcPr>
            <w:tcW w:w="851" w:type="dxa"/>
            <w:vAlign w:val="top"/>
          </w:tcPr>
          <w:p>
            <w:pPr>
              <w:pStyle w:val="18"/>
              <w:ind w:firstLine="0" w:firstLineChars="0"/>
              <w:jc w:val="center"/>
              <w:rPr>
                <w:sz w:val="21"/>
                <w:szCs w:val="21"/>
              </w:rPr>
            </w:pPr>
            <w:r>
              <w:rPr>
                <w:rFonts w:hint="eastAsia"/>
                <w:sz w:val="21"/>
                <w:szCs w:val="21"/>
              </w:rPr>
              <w:t>李卫山</w:t>
            </w:r>
          </w:p>
        </w:tc>
        <w:tc>
          <w:tcPr>
            <w:tcW w:w="1559" w:type="dxa"/>
            <w:vAlign w:val="top"/>
          </w:tcPr>
          <w:p>
            <w:pPr>
              <w:pStyle w:val="18"/>
              <w:ind w:firstLine="0" w:firstLineChars="0"/>
              <w:jc w:val="center"/>
              <w:rPr>
                <w:sz w:val="21"/>
                <w:szCs w:val="21"/>
              </w:rPr>
            </w:pPr>
            <w:r>
              <w:rPr>
                <w:rFonts w:hint="eastAsia"/>
                <w:sz w:val="21"/>
                <w:szCs w:val="21"/>
              </w:rPr>
              <w:t>中远海运集团</w:t>
            </w:r>
          </w:p>
        </w:tc>
        <w:tc>
          <w:tcPr>
            <w:tcW w:w="4961" w:type="dxa"/>
            <w:vAlign w:val="top"/>
          </w:tcPr>
          <w:p>
            <w:pPr>
              <w:pStyle w:val="18"/>
              <w:ind w:firstLine="0" w:firstLineChars="0"/>
              <w:jc w:val="both"/>
              <w:rPr>
                <w:sz w:val="21"/>
                <w:szCs w:val="21"/>
              </w:rPr>
            </w:pPr>
            <w:r>
              <w:rPr>
                <w:rFonts w:hint="eastAsia"/>
                <w:sz w:val="21"/>
                <w:szCs w:val="21"/>
              </w:rPr>
              <w:t>标准相关编制辅助工作</w:t>
            </w:r>
          </w:p>
        </w:tc>
      </w:tr>
    </w:tbl>
    <w:p>
      <w:pPr>
        <w:pStyle w:val="18"/>
        <w:spacing w:beforeLines="50"/>
        <w:ind w:firstLine="480"/>
        <w:jc w:val="both"/>
        <w:rPr>
          <w:rFonts w:ascii="宋体" w:hAnsi="宋体" w:eastAsia="宋体"/>
          <w:sz w:val="24"/>
          <w:szCs w:val="24"/>
        </w:rPr>
      </w:pPr>
    </w:p>
    <w:p>
      <w:pPr>
        <w:pStyle w:val="2"/>
        <w:numPr>
          <w:ilvl w:val="0"/>
          <w:numId w:val="0"/>
        </w:numPr>
        <w:ind w:firstLine="482" w:firstLineChars="200"/>
      </w:pPr>
      <w:r>
        <w:rPr>
          <w:rFonts w:hint="eastAsia"/>
        </w:rPr>
        <w:t>二、标准编制原则和确定标准主要内容的依据</w:t>
      </w:r>
      <w:bookmarkEnd w:id="10"/>
    </w:p>
    <w:p>
      <w:pPr>
        <w:pStyle w:val="3"/>
      </w:pPr>
      <w:bookmarkStart w:id="11" w:name="_Toc15751150"/>
      <w:bookmarkStart w:id="12" w:name="_Toc13222575"/>
      <w:bookmarkStart w:id="13" w:name="_Toc516735499"/>
      <w:r>
        <w:rPr>
          <w:rFonts w:hint="eastAsia"/>
        </w:rPr>
        <w:t>（一）标准编制原则</w:t>
      </w:r>
      <w:bookmarkEnd w:id="11"/>
      <w:bookmarkEnd w:id="12"/>
      <w:bookmarkEnd w:id="13"/>
      <w:r>
        <w:rPr>
          <w:rFonts w:hint="eastAsia"/>
        </w:rPr>
        <w:t>。</w:t>
      </w:r>
    </w:p>
    <w:p>
      <w:pPr>
        <w:pStyle w:val="18"/>
        <w:spacing w:beforeLines="50"/>
        <w:ind w:firstLine="480"/>
        <w:jc w:val="both"/>
        <w:rPr>
          <w:sz w:val="24"/>
          <w:szCs w:val="24"/>
        </w:rPr>
      </w:pPr>
      <w:r>
        <w:rPr>
          <w:rFonts w:hint="eastAsia"/>
          <w:sz w:val="24"/>
          <w:szCs w:val="24"/>
        </w:rPr>
        <w:t>参考中国标准出版社出版的《标准的编写》制定出的编写标准的方法和基本规则，《油船清洗舱安全作业要求》在编制过程中遵循以下三个原则，即：法规体系的完整性和一致性；技术应用的适用性和可操作性；标准文本的统一性和规范性。</w:t>
      </w:r>
    </w:p>
    <w:p>
      <w:pPr>
        <w:pStyle w:val="18"/>
        <w:spacing w:beforeLines="50"/>
        <w:ind w:firstLine="482"/>
        <w:jc w:val="both"/>
        <w:rPr>
          <w:b/>
          <w:sz w:val="24"/>
          <w:szCs w:val="24"/>
        </w:rPr>
      </w:pPr>
      <w:r>
        <w:rPr>
          <w:rFonts w:hint="eastAsia"/>
          <w:b/>
          <w:sz w:val="24"/>
          <w:szCs w:val="24"/>
        </w:rPr>
        <w:t>1．法规体系的完整</w:t>
      </w:r>
      <w:r>
        <w:rPr>
          <w:rFonts w:hint="eastAsia"/>
          <w:b/>
          <w:sz w:val="24"/>
          <w:szCs w:val="24"/>
        </w:rPr>
        <w:t>性和一致性。</w:t>
      </w:r>
    </w:p>
    <w:p>
      <w:pPr>
        <w:pStyle w:val="18"/>
        <w:spacing w:beforeLines="50"/>
        <w:ind w:firstLine="480"/>
        <w:jc w:val="both"/>
        <w:rPr>
          <w:sz w:val="24"/>
          <w:szCs w:val="24"/>
        </w:rPr>
      </w:pPr>
      <w:r>
        <w:rPr>
          <w:rFonts w:hint="eastAsia"/>
          <w:sz w:val="24"/>
          <w:szCs w:val="24"/>
        </w:rPr>
        <w:t>标准规范体系的完整性，指本标准在整个洗舱作业标准规范体系中定位及与其他标准的衔接性。</w:t>
      </w:r>
    </w:p>
    <w:p>
      <w:pPr>
        <w:pStyle w:val="18"/>
        <w:spacing w:beforeLines="50"/>
        <w:ind w:firstLine="480"/>
        <w:jc w:val="both"/>
        <w:rPr>
          <w:sz w:val="24"/>
          <w:szCs w:val="24"/>
        </w:rPr>
      </w:pPr>
      <w:r>
        <w:rPr>
          <w:rFonts w:hint="eastAsia"/>
          <w:sz w:val="24"/>
          <w:szCs w:val="24"/>
        </w:rPr>
        <w:t>一致性指编制的标准与对应的上位法律法规的符合性，以及与其他标准规范间的一致性。起草标准时，如有对应的国际、国内文件，首先应考虑以这些国际、国内文件为基础制定我国标准，在这一前提下，还应尽可能保持与国际、国内文件的一致性，并确定与相应国际、国内文件的一致性程度，即等同编制。本标准在编制过程中，结合我国实际情况，力求与国际接轨。具体编制中遵循两个原则，一是尽可能满足国际海事组织（IMO）发布的《国际海上人命安全公约》（SOLAS）、《国际防止船舶造成污染公约》（MARPOL）和《国际消防安全系统规则》（FSS）等相关公约、规则在油船洗舱作业安全方面的基本要求；二是总体上与I</w:t>
      </w:r>
      <w:r>
        <w:rPr>
          <w:sz w:val="24"/>
          <w:szCs w:val="24"/>
        </w:rPr>
        <w:t>MO</w:t>
      </w:r>
      <w:r>
        <w:rPr>
          <w:rFonts w:hint="eastAsia"/>
          <w:sz w:val="24"/>
          <w:szCs w:val="24"/>
        </w:rPr>
        <w:t>出版的《原油洗舱系统》（2000版）以及国际航运协会（ICS）、石油公司国际海事论坛（OCIMF）与国际港口与码头联合会（IAPH）出版的《国际油轮与油码头安全指南》（第5版，</w:t>
      </w:r>
      <w:r>
        <w:rPr>
          <w:sz w:val="24"/>
          <w:szCs w:val="24"/>
        </w:rPr>
        <w:t>ISGOTT</w:t>
      </w:r>
      <w:r>
        <w:rPr>
          <w:rFonts w:hint="eastAsia"/>
          <w:sz w:val="24"/>
          <w:szCs w:val="24"/>
        </w:rPr>
        <w:t>）的相关内容保持一致。此外，也注重与现有国内有关标准、条例、办法等保持一致。</w:t>
      </w:r>
    </w:p>
    <w:p>
      <w:pPr>
        <w:pStyle w:val="18"/>
        <w:spacing w:beforeLines="50"/>
        <w:ind w:firstLine="482"/>
        <w:jc w:val="both"/>
        <w:rPr>
          <w:b/>
          <w:sz w:val="24"/>
          <w:szCs w:val="24"/>
        </w:rPr>
      </w:pPr>
      <w:r>
        <w:rPr>
          <w:rFonts w:hint="eastAsia"/>
          <w:b/>
          <w:sz w:val="24"/>
          <w:szCs w:val="24"/>
        </w:rPr>
        <w:t>2．技术应用的适用性和可操作性。</w:t>
      </w:r>
    </w:p>
    <w:p>
      <w:pPr>
        <w:pStyle w:val="18"/>
        <w:spacing w:beforeLines="50"/>
        <w:ind w:firstLine="480"/>
        <w:jc w:val="both"/>
        <w:rPr>
          <w:sz w:val="24"/>
          <w:szCs w:val="24"/>
        </w:rPr>
      </w:pPr>
      <w:r>
        <w:rPr>
          <w:rFonts w:hint="eastAsia"/>
          <w:sz w:val="24"/>
          <w:szCs w:val="24"/>
        </w:rPr>
        <w:t>适用性指一个标准在特定条件下适合于规定用途的能力。在当前形式下，特定条件主要表现为油船运输业发展较快、国际公约不断变化、国内法律法规不断完善等。</w:t>
      </w:r>
    </w:p>
    <w:p>
      <w:pPr>
        <w:pStyle w:val="18"/>
        <w:spacing w:beforeLines="50"/>
        <w:ind w:firstLine="480"/>
        <w:jc w:val="both"/>
        <w:rPr>
          <w:sz w:val="24"/>
          <w:szCs w:val="24"/>
        </w:rPr>
      </w:pPr>
      <w:r>
        <w:rPr>
          <w:rFonts w:hint="eastAsia"/>
          <w:sz w:val="24"/>
          <w:szCs w:val="24"/>
        </w:rPr>
        <w:t>可操作性指实用性和可行性，关键是要考虑两点：一是指标要简化，方法要简便；二是必须考虑实际工作的可行性。</w:t>
      </w:r>
    </w:p>
    <w:p>
      <w:pPr>
        <w:pStyle w:val="18"/>
        <w:spacing w:beforeLines="50"/>
        <w:ind w:firstLine="482"/>
        <w:jc w:val="both"/>
        <w:rPr>
          <w:b/>
          <w:sz w:val="24"/>
          <w:szCs w:val="24"/>
        </w:rPr>
      </w:pPr>
      <w:r>
        <w:rPr>
          <w:rFonts w:hint="eastAsia"/>
          <w:b/>
          <w:sz w:val="24"/>
          <w:szCs w:val="24"/>
        </w:rPr>
        <w:t>3．标准文本的统一性和规范性。</w:t>
      </w:r>
    </w:p>
    <w:p>
      <w:pPr>
        <w:pStyle w:val="18"/>
        <w:spacing w:beforeLines="50"/>
        <w:ind w:firstLine="480"/>
        <w:jc w:val="both"/>
        <w:rPr>
          <w:sz w:val="24"/>
          <w:szCs w:val="24"/>
        </w:rPr>
      </w:pPr>
      <w:r>
        <w:rPr>
          <w:rFonts w:hint="eastAsia"/>
          <w:sz w:val="24"/>
          <w:szCs w:val="24"/>
        </w:rPr>
        <w:t>统一性是对标准编写及表达方式的最基本要求。统一性强调的是内部的统一，“内部”有三个层次：第一，一项单独出版的标准或部分的内部；第二，一项分成多个部分的标准的内部；第三，一系列相关标准构成的标准体系的内部。统一的内容包括三个方面，即标准的结构、文体和术语。三个层次上三个方面的统一将保证标准能够被使用者无歧义的理解。</w:t>
      </w:r>
    </w:p>
    <w:p>
      <w:pPr>
        <w:pStyle w:val="18"/>
        <w:spacing w:beforeLines="50"/>
        <w:ind w:firstLine="480"/>
        <w:jc w:val="both"/>
        <w:rPr>
          <w:sz w:val="24"/>
          <w:szCs w:val="24"/>
        </w:rPr>
      </w:pPr>
      <w:r>
        <w:rPr>
          <w:rFonts w:hint="eastAsia"/>
          <w:sz w:val="24"/>
          <w:szCs w:val="24"/>
        </w:rPr>
        <w:t>规范性指起草标准时要遵守与标准制定有关的基础标准以及相关法律、法规。实现规范性要做到以下三个方面：</w:t>
      </w: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预先设计，在起早标准之前，应首先按照标准结构的规定，确定标准的预计结构和内在关系，以便对相应的内容进行统一的安排；</w:t>
      </w: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遵守制定程序和编写规则；</w:t>
      </w: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特定标准的制定须符合相应基础标准的规定。</w:t>
      </w:r>
    </w:p>
    <w:p>
      <w:pPr>
        <w:pStyle w:val="18"/>
        <w:spacing w:beforeLines="50"/>
        <w:ind w:firstLine="480"/>
        <w:jc w:val="both"/>
        <w:rPr>
          <w:sz w:val="24"/>
          <w:szCs w:val="24"/>
        </w:rPr>
      </w:pPr>
      <w:r>
        <w:rPr>
          <w:rFonts w:hint="eastAsia"/>
          <w:sz w:val="24"/>
          <w:szCs w:val="24"/>
        </w:rPr>
        <w:t>本标准在编制过程中，参照《标准化工作导则</w:t>
      </w:r>
      <w:r>
        <w:rPr>
          <w:sz w:val="24"/>
          <w:szCs w:val="24"/>
        </w:rPr>
        <w:t xml:space="preserve"> </w:t>
      </w:r>
      <w:r>
        <w:rPr>
          <w:rFonts w:hint="eastAsia"/>
          <w:sz w:val="24"/>
          <w:szCs w:val="24"/>
        </w:rPr>
        <w:t>第1部分：标准的结构和编写》（GB/T 1.1-2009）等相关标准编写的规则要求，在标准文本上做到统一性和规范性。</w:t>
      </w:r>
    </w:p>
    <w:p>
      <w:pPr>
        <w:pStyle w:val="3"/>
      </w:pPr>
      <w:bookmarkStart w:id="14" w:name="_Toc463155870"/>
      <w:bookmarkStart w:id="15" w:name="_Toc516735500"/>
      <w:bookmarkStart w:id="16" w:name="_Toc13222576"/>
      <w:bookmarkStart w:id="17" w:name="_Toc15751151"/>
      <w:r>
        <w:rPr>
          <w:rFonts w:hint="eastAsia"/>
        </w:rPr>
        <w:t>（二）</w:t>
      </w:r>
      <w:bookmarkEnd w:id="14"/>
      <w:bookmarkEnd w:id="15"/>
      <w:bookmarkEnd w:id="16"/>
      <w:r>
        <w:rPr>
          <w:rFonts w:hint="eastAsia"/>
        </w:rPr>
        <w:t>确定标准主要内容的依据</w:t>
      </w:r>
      <w:bookmarkEnd w:id="17"/>
      <w:r>
        <w:rPr>
          <w:rFonts w:hint="eastAsia"/>
        </w:rPr>
        <w:t>。</w:t>
      </w:r>
    </w:p>
    <w:p>
      <w:pPr>
        <w:pStyle w:val="18"/>
        <w:spacing w:beforeLines="50"/>
        <w:ind w:firstLine="480"/>
        <w:jc w:val="both"/>
        <w:rPr>
          <w:sz w:val="24"/>
          <w:szCs w:val="24"/>
        </w:rPr>
      </w:pPr>
      <w:r>
        <w:rPr>
          <w:rFonts w:hint="eastAsia"/>
          <w:sz w:val="24"/>
          <w:szCs w:val="24"/>
        </w:rPr>
        <w:t>此次标准编制主要包含十大方面的内容：一是标准名称；二是适用范围和定位；三是标准目次、前言、规范性引用文件；四是术语和定义；五是一般要求，对船舶、设备、人员、作业条件、安全等方面的要求；六是清洗舱，包括惰化状况下的洗舱、非惰化状况下的洗舱以及特种清舱方法等的作业要求；七是原油洗舱，包括对作业人员的要求、作业计划的编制等内容；八是除气作业，包括装有惰气系统的除气、未装惰气系统的除气、不戴呼吸器具入舱的除气要求等内容；九是应急反应；十是附录，对原油洗舱作业安全确认表进行了规定。</w:t>
      </w:r>
    </w:p>
    <w:p>
      <w:pPr>
        <w:pStyle w:val="18"/>
        <w:spacing w:beforeLines="50"/>
        <w:ind w:firstLine="480"/>
        <w:jc w:val="both"/>
        <w:rPr>
          <w:sz w:val="24"/>
          <w:szCs w:val="24"/>
        </w:rPr>
      </w:pPr>
      <w:r>
        <w:rPr>
          <w:rFonts w:hint="eastAsia"/>
          <w:sz w:val="24"/>
          <w:szCs w:val="24"/>
        </w:rPr>
        <w:t>标准具体内容确定依据如下：</w:t>
      </w:r>
    </w:p>
    <w:p>
      <w:pPr>
        <w:pStyle w:val="18"/>
        <w:spacing w:beforeLines="50"/>
        <w:ind w:firstLine="482"/>
        <w:jc w:val="both"/>
        <w:rPr>
          <w:b/>
          <w:sz w:val="24"/>
          <w:szCs w:val="24"/>
        </w:rPr>
      </w:pPr>
      <w:r>
        <w:rPr>
          <w:rFonts w:hint="eastAsia"/>
          <w:b/>
          <w:sz w:val="24"/>
          <w:szCs w:val="24"/>
        </w:rPr>
        <w:t>1．标准适用范围。</w:t>
      </w:r>
    </w:p>
    <w:p>
      <w:pPr>
        <w:pStyle w:val="18"/>
        <w:spacing w:beforeLines="50"/>
        <w:ind w:firstLine="480"/>
        <w:jc w:val="both"/>
        <w:rPr>
          <w:sz w:val="24"/>
          <w:szCs w:val="24"/>
        </w:rPr>
      </w:pPr>
      <w:r>
        <w:rPr>
          <w:rFonts w:hint="eastAsia"/>
          <w:sz w:val="24"/>
          <w:szCs w:val="24"/>
        </w:rPr>
        <w:t>本次标准编制，涵盖了油船清洗舱安全作业所涉及的各方面要求，包括设备、船舶、人员、作业程序、作业环境、风险控制等。作为国家标准，水域范围包括中华人民共和国管辖的所有水域内的油船清洗舱作业；作业方式既包含油船的洗舱作业，同时也包含油船的清舱作业。</w:t>
      </w:r>
    </w:p>
    <w:p>
      <w:pPr>
        <w:pStyle w:val="18"/>
        <w:spacing w:beforeLines="50"/>
        <w:ind w:firstLine="482"/>
        <w:jc w:val="both"/>
        <w:rPr>
          <w:b/>
          <w:sz w:val="24"/>
          <w:szCs w:val="24"/>
        </w:rPr>
      </w:pPr>
      <w:r>
        <w:rPr>
          <w:rFonts w:hint="eastAsia"/>
          <w:b/>
          <w:sz w:val="24"/>
          <w:szCs w:val="24"/>
        </w:rPr>
        <w:t>2．术语和定义。</w:t>
      </w:r>
    </w:p>
    <w:p>
      <w:pPr>
        <w:pStyle w:val="18"/>
        <w:spacing w:beforeLines="50"/>
        <w:ind w:firstLine="480"/>
        <w:jc w:val="both"/>
        <w:rPr>
          <w:sz w:val="24"/>
          <w:szCs w:val="24"/>
        </w:rPr>
      </w:pPr>
      <w:r>
        <w:rPr>
          <w:rFonts w:hint="eastAsia"/>
          <w:sz w:val="24"/>
          <w:szCs w:val="24"/>
        </w:rPr>
        <w:t>根据《标准化工作导则 第1部分：标准的结构和编写》（GB/T 1.1-2009），术语和定义为可选要素，在此定义本标准中所使用的并且是属于本标准的范围所覆盖的概念。具体包括下述术语和定义：</w:t>
      </w:r>
    </w:p>
    <w:p>
      <w:pPr>
        <w:pStyle w:val="18"/>
        <w:spacing w:beforeLines="50"/>
        <w:ind w:firstLine="480"/>
        <w:jc w:val="both"/>
        <w:rPr>
          <w:sz w:val="24"/>
          <w:szCs w:val="24"/>
        </w:rPr>
      </w:pPr>
      <w:r>
        <w:rPr>
          <w:rFonts w:hint="eastAsia"/>
          <w:sz w:val="24"/>
          <w:szCs w:val="24"/>
        </w:rPr>
        <w:t>（1）洗舱。</w:t>
      </w:r>
    </w:p>
    <w:p>
      <w:pPr>
        <w:pStyle w:val="18"/>
        <w:spacing w:beforeLines="50"/>
        <w:ind w:firstLine="480"/>
        <w:jc w:val="both"/>
        <w:rPr>
          <w:sz w:val="24"/>
          <w:szCs w:val="24"/>
        </w:rPr>
      </w:pPr>
      <w:r>
        <w:rPr>
          <w:rFonts w:hint="eastAsia"/>
          <w:sz w:val="24"/>
          <w:szCs w:val="24"/>
        </w:rPr>
        <w:t>条款“3.1</w:t>
      </w:r>
      <w:r>
        <w:rPr>
          <w:sz w:val="24"/>
          <w:szCs w:val="24"/>
        </w:rPr>
        <w:t xml:space="preserve"> </w:t>
      </w:r>
      <w:r>
        <w:rPr>
          <w:rFonts w:hint="eastAsia"/>
          <w:sz w:val="24"/>
          <w:szCs w:val="24"/>
        </w:rPr>
        <w:t>洗舱”的定义。对本标准洗舱作业的内涵进行定义，界定了洗舱作业所使用的工质、设备以及作业范围。依据J</w:t>
      </w:r>
      <w:r>
        <w:rPr>
          <w:sz w:val="24"/>
          <w:szCs w:val="24"/>
        </w:rPr>
        <w:t>T 154</w:t>
      </w:r>
      <w:r>
        <w:rPr>
          <w:rFonts w:hint="eastAsia"/>
          <w:sz w:val="24"/>
          <w:szCs w:val="24"/>
        </w:rPr>
        <w:t>-1994原标准定义，符合行业共识及I</w:t>
      </w:r>
      <w:r>
        <w:rPr>
          <w:sz w:val="24"/>
          <w:szCs w:val="24"/>
        </w:rPr>
        <w:t>SGOTT</w:t>
      </w:r>
      <w:r>
        <w:rPr>
          <w:rFonts w:hint="eastAsia"/>
          <w:sz w:val="24"/>
          <w:szCs w:val="24"/>
        </w:rPr>
        <w:t>指南相关定义，予以保留。</w:t>
      </w:r>
    </w:p>
    <w:p>
      <w:pPr>
        <w:pStyle w:val="18"/>
        <w:spacing w:beforeLines="50"/>
        <w:ind w:firstLine="480"/>
        <w:jc w:val="both"/>
        <w:rPr>
          <w:sz w:val="24"/>
          <w:szCs w:val="24"/>
        </w:rPr>
      </w:pPr>
      <w:r>
        <w:rPr>
          <w:rFonts w:hint="eastAsia"/>
          <w:sz w:val="24"/>
          <w:szCs w:val="24"/>
        </w:rPr>
        <w:t>（2）洗舱机。</w:t>
      </w:r>
    </w:p>
    <w:p>
      <w:pPr>
        <w:pStyle w:val="18"/>
        <w:spacing w:beforeLines="50"/>
        <w:ind w:firstLine="480"/>
        <w:jc w:val="both"/>
        <w:rPr>
          <w:sz w:val="24"/>
          <w:szCs w:val="24"/>
        </w:rPr>
      </w:pPr>
      <w:r>
        <w:rPr>
          <w:rFonts w:hint="eastAsia"/>
          <w:sz w:val="24"/>
          <w:szCs w:val="24"/>
        </w:rPr>
        <w:t>条款“3.2</w:t>
      </w:r>
      <w:r>
        <w:rPr>
          <w:sz w:val="24"/>
          <w:szCs w:val="24"/>
        </w:rPr>
        <w:t xml:space="preserve"> </w:t>
      </w:r>
      <w:r>
        <w:rPr>
          <w:rFonts w:hint="eastAsia"/>
          <w:sz w:val="24"/>
          <w:szCs w:val="24"/>
        </w:rPr>
        <w:t>洗舱机”的定义。对本标准所涉及的洗舱设备进行明确。依据JT 154原标准定义，符合行业共识，予以保留。</w:t>
      </w:r>
    </w:p>
    <w:p>
      <w:pPr>
        <w:pStyle w:val="18"/>
        <w:spacing w:beforeLines="50"/>
        <w:ind w:firstLine="480"/>
        <w:jc w:val="both"/>
        <w:rPr>
          <w:sz w:val="24"/>
          <w:szCs w:val="24"/>
        </w:rPr>
      </w:pPr>
      <w:r>
        <w:rPr>
          <w:rFonts w:hint="eastAsia"/>
          <w:sz w:val="24"/>
          <w:szCs w:val="24"/>
        </w:rPr>
        <w:t>（3）清舱。</w:t>
      </w:r>
    </w:p>
    <w:p>
      <w:pPr>
        <w:pStyle w:val="18"/>
        <w:spacing w:beforeLines="50"/>
        <w:ind w:firstLine="480"/>
        <w:jc w:val="both"/>
        <w:rPr>
          <w:sz w:val="24"/>
          <w:szCs w:val="24"/>
        </w:rPr>
      </w:pPr>
      <w:r>
        <w:rPr>
          <w:rFonts w:hint="eastAsia"/>
          <w:sz w:val="24"/>
          <w:szCs w:val="24"/>
        </w:rPr>
        <w:t>条款“3.3</w:t>
      </w:r>
      <w:r>
        <w:rPr>
          <w:sz w:val="24"/>
          <w:szCs w:val="24"/>
        </w:rPr>
        <w:t xml:space="preserve"> </w:t>
      </w:r>
      <w:r>
        <w:rPr>
          <w:rFonts w:hint="eastAsia"/>
          <w:sz w:val="24"/>
          <w:szCs w:val="24"/>
        </w:rPr>
        <w:t>清舱”的定义。采用</w:t>
      </w:r>
      <w:r>
        <w:rPr>
          <w:sz w:val="24"/>
          <w:szCs w:val="24"/>
        </w:rPr>
        <w:t>ISGOTT</w:t>
      </w:r>
      <w:r>
        <w:rPr>
          <w:rFonts w:hint="eastAsia"/>
          <w:sz w:val="24"/>
          <w:szCs w:val="24"/>
        </w:rPr>
        <w:t>指南等国际通行概念对清舱的定义进行明确。其内涵包括采用各作业工具以及各作业工艺清除舱内的气态、液态以及固态残存物的各个作业过程。</w:t>
      </w:r>
    </w:p>
    <w:p>
      <w:pPr>
        <w:pStyle w:val="18"/>
        <w:spacing w:beforeLines="50"/>
        <w:ind w:firstLine="480"/>
        <w:jc w:val="both"/>
        <w:rPr>
          <w:sz w:val="24"/>
          <w:szCs w:val="24"/>
        </w:rPr>
      </w:pPr>
      <w:r>
        <w:rPr>
          <w:rFonts w:hint="eastAsia"/>
          <w:sz w:val="24"/>
          <w:szCs w:val="24"/>
        </w:rPr>
        <w:t>（4）洗舱类型。</w:t>
      </w:r>
    </w:p>
    <w:p>
      <w:pPr>
        <w:pStyle w:val="18"/>
        <w:spacing w:beforeLines="50"/>
        <w:ind w:firstLine="480"/>
        <w:jc w:val="both"/>
        <w:rPr>
          <w:sz w:val="24"/>
          <w:szCs w:val="24"/>
        </w:rPr>
      </w:pPr>
      <w:r>
        <w:rPr>
          <w:rFonts w:hint="eastAsia"/>
          <w:sz w:val="24"/>
          <w:szCs w:val="24"/>
        </w:rPr>
        <w:t>条款“3.4</w:t>
      </w:r>
      <w:r>
        <w:rPr>
          <w:sz w:val="24"/>
          <w:szCs w:val="24"/>
        </w:rPr>
        <w:t xml:space="preserve"> </w:t>
      </w:r>
      <w:r>
        <w:rPr>
          <w:rFonts w:hint="eastAsia"/>
          <w:sz w:val="24"/>
          <w:szCs w:val="24"/>
        </w:rPr>
        <w:t>原油洗舱”“3.5</w:t>
      </w:r>
      <w:r>
        <w:rPr>
          <w:sz w:val="24"/>
          <w:szCs w:val="24"/>
        </w:rPr>
        <w:t xml:space="preserve"> </w:t>
      </w:r>
      <w:r>
        <w:rPr>
          <w:rFonts w:hint="eastAsia"/>
          <w:sz w:val="24"/>
          <w:szCs w:val="24"/>
        </w:rPr>
        <w:t>水洗舱”。对采用不同洗舱工质的洗舱工艺进行了定义。依据JT 154原标准定义，符合行业共识，予以保留。</w:t>
      </w:r>
    </w:p>
    <w:p>
      <w:pPr>
        <w:pStyle w:val="18"/>
        <w:spacing w:beforeLines="50"/>
        <w:ind w:firstLine="480"/>
        <w:jc w:val="both"/>
        <w:rPr>
          <w:sz w:val="24"/>
          <w:szCs w:val="24"/>
        </w:rPr>
      </w:pPr>
      <w:r>
        <w:rPr>
          <w:rFonts w:hint="eastAsia"/>
          <w:sz w:val="24"/>
          <w:szCs w:val="24"/>
        </w:rPr>
        <w:t>（5）舱气控制。</w:t>
      </w:r>
    </w:p>
    <w:p>
      <w:pPr>
        <w:pStyle w:val="18"/>
        <w:spacing w:beforeLines="50"/>
        <w:ind w:firstLine="480"/>
        <w:jc w:val="both"/>
        <w:rPr>
          <w:sz w:val="24"/>
          <w:szCs w:val="24"/>
        </w:rPr>
      </w:pPr>
      <w:r>
        <w:rPr>
          <w:rFonts w:hint="eastAsia"/>
          <w:sz w:val="24"/>
          <w:szCs w:val="24"/>
        </w:rPr>
        <w:t>条款“3.6</w:t>
      </w:r>
      <w:r>
        <w:rPr>
          <w:sz w:val="24"/>
          <w:szCs w:val="24"/>
        </w:rPr>
        <w:t xml:space="preserve"> </w:t>
      </w:r>
      <w:r>
        <w:rPr>
          <w:rFonts w:hint="eastAsia"/>
          <w:sz w:val="24"/>
          <w:szCs w:val="24"/>
        </w:rPr>
        <w:t>惰性气体”“3.7</w:t>
      </w:r>
      <w:r>
        <w:rPr>
          <w:sz w:val="24"/>
          <w:szCs w:val="24"/>
        </w:rPr>
        <w:t xml:space="preserve"> </w:t>
      </w:r>
      <w:r>
        <w:rPr>
          <w:rFonts w:hint="eastAsia"/>
          <w:sz w:val="24"/>
          <w:szCs w:val="24"/>
        </w:rPr>
        <w:t>惰化状态”“3.8</w:t>
      </w:r>
      <w:r>
        <w:rPr>
          <w:sz w:val="24"/>
          <w:szCs w:val="24"/>
        </w:rPr>
        <w:t xml:space="preserve"> </w:t>
      </w:r>
      <w:r>
        <w:rPr>
          <w:rFonts w:hint="eastAsia"/>
          <w:sz w:val="24"/>
          <w:szCs w:val="24"/>
        </w:rPr>
        <w:t>惰性气体系统”“3.9</w:t>
      </w:r>
      <w:r>
        <w:rPr>
          <w:sz w:val="24"/>
          <w:szCs w:val="24"/>
        </w:rPr>
        <w:t xml:space="preserve"> </w:t>
      </w:r>
      <w:r>
        <w:rPr>
          <w:rFonts w:hint="eastAsia"/>
          <w:sz w:val="24"/>
          <w:szCs w:val="24"/>
        </w:rPr>
        <w:t>充惰”“3.10</w:t>
      </w:r>
      <w:r>
        <w:rPr>
          <w:sz w:val="24"/>
          <w:szCs w:val="24"/>
        </w:rPr>
        <w:t xml:space="preserve"> </w:t>
      </w:r>
      <w:r>
        <w:rPr>
          <w:rFonts w:hint="eastAsia"/>
          <w:sz w:val="24"/>
          <w:szCs w:val="24"/>
        </w:rPr>
        <w:t>除气”“3.11</w:t>
      </w:r>
      <w:r>
        <w:rPr>
          <w:sz w:val="24"/>
          <w:szCs w:val="24"/>
        </w:rPr>
        <w:t xml:space="preserve"> </w:t>
      </w:r>
      <w:r>
        <w:rPr>
          <w:rFonts w:hint="eastAsia"/>
          <w:sz w:val="24"/>
          <w:szCs w:val="24"/>
        </w:rPr>
        <w:t>除气证书”“3.12</w:t>
      </w:r>
      <w:r>
        <w:rPr>
          <w:sz w:val="24"/>
          <w:szCs w:val="24"/>
        </w:rPr>
        <w:t xml:space="preserve"> </w:t>
      </w:r>
      <w:r>
        <w:rPr>
          <w:rFonts w:hint="eastAsia"/>
          <w:sz w:val="24"/>
          <w:szCs w:val="24"/>
        </w:rPr>
        <w:t>驱气”对油船在清洗舱过程中所涉及的舱气状态等进行定义。油舱是否惰化，以及相关的除气、驱气作业流程等是油船洗舱作业过程中的重要安全环节，因此有必要对其内涵进行明确界定；除气证书的定义，是进一步明确了除气这一重要作业过程所需涉及的文书。依据JT 154原标准定义，同时参考I</w:t>
      </w:r>
      <w:r>
        <w:rPr>
          <w:sz w:val="24"/>
          <w:szCs w:val="24"/>
        </w:rPr>
        <w:t>SGOTT</w:t>
      </w:r>
      <w:r>
        <w:rPr>
          <w:rFonts w:hint="eastAsia"/>
          <w:sz w:val="24"/>
          <w:szCs w:val="24"/>
        </w:rPr>
        <w:t>相关行业指南定义。</w:t>
      </w:r>
    </w:p>
    <w:p>
      <w:pPr>
        <w:pStyle w:val="18"/>
        <w:spacing w:beforeLines="50"/>
        <w:ind w:firstLine="480"/>
        <w:jc w:val="both"/>
        <w:rPr>
          <w:sz w:val="24"/>
          <w:szCs w:val="24"/>
        </w:rPr>
      </w:pPr>
      <w:r>
        <w:rPr>
          <w:rFonts w:hint="eastAsia"/>
          <w:sz w:val="24"/>
          <w:szCs w:val="24"/>
        </w:rPr>
        <w:t>（6）可燃下限。</w:t>
      </w:r>
    </w:p>
    <w:p>
      <w:pPr>
        <w:pStyle w:val="18"/>
        <w:spacing w:beforeLines="50"/>
        <w:ind w:firstLine="480"/>
        <w:jc w:val="both"/>
        <w:rPr>
          <w:sz w:val="24"/>
          <w:szCs w:val="24"/>
        </w:rPr>
      </w:pPr>
      <w:r>
        <w:rPr>
          <w:rFonts w:hint="eastAsia"/>
          <w:sz w:val="24"/>
          <w:szCs w:val="24"/>
        </w:rPr>
        <w:t>条款“3.13</w:t>
      </w:r>
      <w:r>
        <w:rPr>
          <w:sz w:val="24"/>
          <w:szCs w:val="24"/>
        </w:rPr>
        <w:t xml:space="preserve"> </w:t>
      </w:r>
      <w:r>
        <w:rPr>
          <w:rFonts w:hint="eastAsia"/>
          <w:sz w:val="24"/>
          <w:szCs w:val="24"/>
        </w:rPr>
        <w:t>可燃下限”的定义。在后续洗舱作业要求中，多次涉及将舱内烃气浓度控制在可燃下限的某一范围，因此有必要对可燃下限进行明确定义，便于实际操作。参考ISGOTT相关行业指南定义。</w:t>
      </w:r>
    </w:p>
    <w:p>
      <w:pPr>
        <w:pStyle w:val="18"/>
        <w:spacing w:beforeLines="50"/>
        <w:ind w:firstLine="480"/>
        <w:jc w:val="both"/>
        <w:rPr>
          <w:sz w:val="24"/>
          <w:szCs w:val="24"/>
        </w:rPr>
      </w:pPr>
      <w:r>
        <w:rPr>
          <w:rFonts w:hint="eastAsia"/>
          <w:sz w:val="24"/>
          <w:szCs w:val="24"/>
        </w:rPr>
        <w:t>（7）临界限值及时间加权平均浓度。</w:t>
      </w:r>
    </w:p>
    <w:p>
      <w:pPr>
        <w:pStyle w:val="18"/>
        <w:spacing w:beforeLines="50"/>
        <w:ind w:firstLine="480"/>
        <w:jc w:val="both"/>
        <w:rPr>
          <w:sz w:val="24"/>
          <w:szCs w:val="24"/>
        </w:rPr>
      </w:pPr>
      <w:r>
        <w:rPr>
          <w:rFonts w:hint="eastAsia"/>
          <w:sz w:val="24"/>
          <w:szCs w:val="24"/>
        </w:rPr>
        <w:t>条款“3.14</w:t>
      </w:r>
      <w:r>
        <w:rPr>
          <w:sz w:val="24"/>
          <w:szCs w:val="24"/>
        </w:rPr>
        <w:t xml:space="preserve"> </w:t>
      </w:r>
      <w:r>
        <w:rPr>
          <w:rFonts w:hint="eastAsia"/>
          <w:sz w:val="24"/>
          <w:szCs w:val="24"/>
        </w:rPr>
        <w:t>临界限制”“3.15</w:t>
      </w:r>
      <w:r>
        <w:rPr>
          <w:sz w:val="24"/>
          <w:szCs w:val="24"/>
        </w:rPr>
        <w:t xml:space="preserve"> </w:t>
      </w:r>
      <w:r>
        <w:rPr>
          <w:rFonts w:hint="eastAsia"/>
          <w:sz w:val="24"/>
          <w:szCs w:val="24"/>
        </w:rPr>
        <w:t>时间加权平均浓度”的定义。油船清舱等作业涉及人员下舱，为确保人员安全，因此有必要对舱内有毒气体浓度阈值的衡准给出明确定义。参考ISGOTT相关行业指南定义。</w:t>
      </w:r>
    </w:p>
    <w:p>
      <w:pPr>
        <w:pStyle w:val="18"/>
        <w:spacing w:beforeLines="50"/>
        <w:ind w:firstLine="480"/>
        <w:jc w:val="both"/>
        <w:rPr>
          <w:sz w:val="24"/>
          <w:szCs w:val="24"/>
        </w:rPr>
      </w:pPr>
      <w:r>
        <w:rPr>
          <w:rFonts w:hint="eastAsia"/>
          <w:sz w:val="24"/>
          <w:szCs w:val="24"/>
        </w:rPr>
        <w:t>（8）物质安全资料表。</w:t>
      </w:r>
    </w:p>
    <w:p>
      <w:pPr>
        <w:pStyle w:val="18"/>
        <w:spacing w:beforeLines="50"/>
        <w:ind w:firstLine="480"/>
        <w:jc w:val="both"/>
        <w:rPr>
          <w:sz w:val="24"/>
          <w:szCs w:val="24"/>
        </w:rPr>
      </w:pPr>
      <w:r>
        <w:rPr>
          <w:rFonts w:hint="eastAsia"/>
          <w:sz w:val="24"/>
          <w:szCs w:val="24"/>
        </w:rPr>
        <w:t>条款“3.16</w:t>
      </w:r>
      <w:r>
        <w:rPr>
          <w:sz w:val="24"/>
          <w:szCs w:val="24"/>
        </w:rPr>
        <w:t xml:space="preserve"> </w:t>
      </w:r>
      <w:r>
        <w:rPr>
          <w:rFonts w:hint="eastAsia"/>
          <w:sz w:val="24"/>
          <w:szCs w:val="24"/>
        </w:rPr>
        <w:t>物质安全资料表”的定义。油船洗舱可能涉及化学洗舱剂等，在使用前，需要对其属性进行明确。参考ISGOTT相关行业指南定义。</w:t>
      </w:r>
    </w:p>
    <w:p>
      <w:pPr>
        <w:pStyle w:val="18"/>
        <w:spacing w:beforeLines="50"/>
        <w:ind w:firstLine="482"/>
        <w:jc w:val="both"/>
        <w:rPr>
          <w:b/>
          <w:sz w:val="24"/>
          <w:szCs w:val="24"/>
        </w:rPr>
      </w:pPr>
      <w:r>
        <w:rPr>
          <w:rFonts w:hint="eastAsia"/>
          <w:b/>
          <w:sz w:val="24"/>
          <w:szCs w:val="24"/>
        </w:rPr>
        <w:t>3．一般要求。</w:t>
      </w:r>
    </w:p>
    <w:p>
      <w:pPr>
        <w:pStyle w:val="18"/>
        <w:spacing w:beforeLines="50"/>
        <w:ind w:firstLine="480"/>
        <w:jc w:val="both"/>
        <w:rPr>
          <w:sz w:val="24"/>
          <w:szCs w:val="24"/>
        </w:rPr>
      </w:pPr>
      <w:r>
        <w:rPr>
          <w:rFonts w:hint="eastAsia"/>
          <w:sz w:val="24"/>
          <w:szCs w:val="24"/>
        </w:rPr>
        <w:t>油船清洗舱作业，主要包括洗舱、清舱和除气等作业，具备惰气系统的船舶还具有一个货舱惰化作业过程。洗舱工艺不同，具体作业流程也不尽相同。本标准不详尽规定洗舱作业流程及作业计划的制定，而是重点规定各作业过程中的安全要求。为此，在本标准结构上，按照清洗舱、除气等作业进行分章阐述。原油洗舱由于其作业的特殊风险性，因此单独列章进行阐述。各章重点介绍在其作业前、作业中的安全操作要求。按照标准的一般结构安排，有关船舶、设备、人员、作业条件等共性问题，列入“第四章 一般要求”中进行阐述。该布局结构也与J</w:t>
      </w:r>
      <w:r>
        <w:rPr>
          <w:sz w:val="24"/>
          <w:szCs w:val="24"/>
        </w:rPr>
        <w:t>T 154</w:t>
      </w:r>
      <w:r>
        <w:rPr>
          <w:rFonts w:hint="eastAsia"/>
          <w:sz w:val="24"/>
          <w:szCs w:val="24"/>
        </w:rPr>
        <w:t>-1994和ISGOTT思路一致，符合行业共识。</w:t>
      </w:r>
    </w:p>
    <w:p>
      <w:pPr>
        <w:pStyle w:val="18"/>
        <w:spacing w:beforeLines="50"/>
        <w:ind w:firstLine="480"/>
        <w:jc w:val="both"/>
        <w:rPr>
          <w:sz w:val="24"/>
          <w:szCs w:val="24"/>
        </w:rPr>
      </w:pPr>
      <w:r>
        <w:rPr>
          <w:rFonts w:hint="eastAsia"/>
          <w:sz w:val="24"/>
          <w:szCs w:val="24"/>
        </w:rPr>
        <w:t>在一般要求中，规定了对船舶、设备、人员、作业条件、安全管理等方面具有共性的要求。</w:t>
      </w:r>
    </w:p>
    <w:p>
      <w:pPr>
        <w:pStyle w:val="18"/>
        <w:spacing w:beforeLines="50"/>
        <w:ind w:firstLine="480"/>
        <w:jc w:val="both"/>
        <w:rPr>
          <w:sz w:val="24"/>
          <w:szCs w:val="24"/>
        </w:rPr>
      </w:pPr>
      <w:r>
        <w:rPr>
          <w:rFonts w:hint="eastAsia"/>
          <w:sz w:val="24"/>
          <w:szCs w:val="24"/>
        </w:rPr>
        <w:t>（1）对洗舱作业船舶的要求。</w:t>
      </w:r>
    </w:p>
    <w:p>
      <w:pPr>
        <w:pStyle w:val="18"/>
        <w:spacing w:beforeLines="50"/>
        <w:ind w:firstLine="480"/>
        <w:jc w:val="both"/>
        <w:rPr>
          <w:sz w:val="24"/>
          <w:szCs w:val="24"/>
        </w:rPr>
      </w:pPr>
      <w:r>
        <w:rPr>
          <w:rFonts w:hint="eastAsia"/>
          <w:sz w:val="24"/>
          <w:szCs w:val="24"/>
        </w:rPr>
        <w:t>条款“4.1</w:t>
      </w:r>
      <w:r>
        <w:rPr>
          <w:sz w:val="24"/>
          <w:szCs w:val="24"/>
        </w:rPr>
        <w:t xml:space="preserve"> </w:t>
      </w:r>
      <w:r>
        <w:rPr>
          <w:rFonts w:hint="eastAsia"/>
          <w:sz w:val="24"/>
          <w:szCs w:val="24"/>
        </w:rPr>
        <w:t>作业船舶”。参与洗舱作业的船舶，不仅有海船，而且还有内河船以及无动力驳船等。提出本条要求，以保证从事洗舱作业的船舶应具备的必要的船舶状态的前提条件。</w:t>
      </w:r>
    </w:p>
    <w:p>
      <w:pPr>
        <w:pStyle w:val="18"/>
        <w:spacing w:beforeLines="50"/>
        <w:ind w:firstLine="480"/>
        <w:jc w:val="both"/>
        <w:rPr>
          <w:sz w:val="24"/>
          <w:szCs w:val="24"/>
        </w:rPr>
      </w:pPr>
      <w:r>
        <w:rPr>
          <w:rFonts w:hint="eastAsia"/>
          <w:sz w:val="24"/>
          <w:szCs w:val="24"/>
        </w:rPr>
        <w:t>（2）对洗舱作业设备的要求。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条款“4.2.1</w:t>
      </w:r>
      <w:r>
        <w:rPr>
          <w:sz w:val="24"/>
          <w:szCs w:val="24"/>
        </w:rPr>
        <w:t xml:space="preserve"> </w:t>
      </w:r>
      <w:r>
        <w:rPr>
          <w:rFonts w:hint="eastAsia"/>
          <w:sz w:val="24"/>
          <w:szCs w:val="24"/>
        </w:rPr>
        <w:t>检验证书”。关于具体洗舱设备，诸如惰性气体系统、洗舱机、洗舱泵、洗舱管路、液位高位报警、通讯联络设备、便携式氧气分析仪等基本在船舶建造规范中予以了明确，因此在此不再提出具体要求，遵循相应的船舶建造规范即可。在此提出“从事洗舱作业的设备应具有有效检验证书”，不仅要求按照规范配置的洗舱设备具有有效性，同时要求内河洗舱站等所配置的相关洗舱设备（如高压洗舱枪等）也应具有有效检验证书。</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条款“4.2.2</w:t>
      </w:r>
      <w:r>
        <w:rPr>
          <w:sz w:val="24"/>
          <w:szCs w:val="24"/>
        </w:rPr>
        <w:t xml:space="preserve"> </w:t>
      </w:r>
      <w:r>
        <w:rPr>
          <w:rFonts w:hint="eastAsia"/>
          <w:sz w:val="24"/>
          <w:szCs w:val="24"/>
        </w:rPr>
        <w:t>移动式洗舱机及其连接软管”。对有关移动式洗舱机及其连接软管的连接、导电连续性、作业方式、标记以及检测等提出具体明确的要求，有利于安全作业。该条款保留</w:t>
      </w:r>
      <w:r>
        <w:rPr>
          <w:sz w:val="24"/>
          <w:szCs w:val="24"/>
        </w:rPr>
        <w:t>JT 154</w:t>
      </w:r>
      <w:r>
        <w:rPr>
          <w:rFonts w:hint="eastAsia"/>
          <w:sz w:val="24"/>
          <w:szCs w:val="24"/>
        </w:rPr>
        <w:t>-1994的相关内容，同时也参考了ISGOTT指南。</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条款“4.2.3</w:t>
      </w:r>
      <w:r>
        <w:rPr>
          <w:sz w:val="24"/>
          <w:szCs w:val="24"/>
        </w:rPr>
        <w:t xml:space="preserve"> </w:t>
      </w:r>
      <w:r>
        <w:rPr>
          <w:rFonts w:hint="eastAsia"/>
          <w:sz w:val="24"/>
          <w:szCs w:val="24"/>
        </w:rPr>
        <w:t>原油洗舱洗舱机”。确保原油洗舱作业的安全性及可靠性，提出本条要求。该条款保留JT 154-1994的相关内容，同时也参考了ISGOTT指南。</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4 \* GB3</w:instrText>
      </w:r>
      <w:r>
        <w:rPr>
          <w:sz w:val="24"/>
          <w:szCs w:val="24"/>
        </w:rPr>
        <w:instrText xml:space="preserve"> </w:instrText>
      </w:r>
      <w:r>
        <w:rPr>
          <w:sz w:val="24"/>
          <w:szCs w:val="24"/>
        </w:rPr>
        <w:fldChar w:fldCharType="separate"/>
      </w:r>
      <w:r>
        <w:rPr>
          <w:rFonts w:hint="eastAsia"/>
          <w:sz w:val="24"/>
          <w:szCs w:val="24"/>
        </w:rPr>
        <w:t>④</w:t>
      </w:r>
      <w:r>
        <w:rPr>
          <w:sz w:val="24"/>
          <w:szCs w:val="24"/>
        </w:rPr>
        <w:fldChar w:fldCharType="end"/>
      </w:r>
      <w:r>
        <w:rPr>
          <w:rFonts w:hint="eastAsia"/>
          <w:sz w:val="24"/>
          <w:szCs w:val="24"/>
        </w:rPr>
        <w:t>条款“4.2.4</w:t>
      </w:r>
      <w:r>
        <w:rPr>
          <w:sz w:val="24"/>
          <w:szCs w:val="24"/>
        </w:rPr>
        <w:t xml:space="preserve"> </w:t>
      </w:r>
      <w:r>
        <w:rPr>
          <w:rFonts w:hint="eastAsia"/>
          <w:sz w:val="24"/>
          <w:szCs w:val="24"/>
        </w:rPr>
        <w:t>移动式风扇或鼓风机”。移动式风扇或鼓风机是船舶除气作业的重要设备，在此明确其与船体的跨接、防静电聚集、风量和出口压力的要求、风机延长管的布置及要求等。该条款保留JT 154-1994的相关内容，同时也参考了ISGOTT指南。</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5 \* GB3</w:instrText>
      </w:r>
      <w:r>
        <w:rPr>
          <w:sz w:val="24"/>
          <w:szCs w:val="24"/>
        </w:rPr>
        <w:instrText xml:space="preserve"> </w:instrText>
      </w:r>
      <w:r>
        <w:rPr>
          <w:sz w:val="24"/>
          <w:szCs w:val="24"/>
        </w:rPr>
        <w:fldChar w:fldCharType="separate"/>
      </w:r>
      <w:r>
        <w:rPr>
          <w:rFonts w:hint="eastAsia"/>
          <w:sz w:val="24"/>
          <w:szCs w:val="24"/>
        </w:rPr>
        <w:t>⑤</w:t>
      </w:r>
      <w:r>
        <w:rPr>
          <w:sz w:val="24"/>
          <w:szCs w:val="24"/>
        </w:rPr>
        <w:fldChar w:fldCharType="end"/>
      </w:r>
      <w:r>
        <w:rPr>
          <w:rFonts w:hint="eastAsia"/>
          <w:sz w:val="24"/>
          <w:szCs w:val="24"/>
        </w:rPr>
        <w:t>条款“4.2.5</w:t>
      </w:r>
      <w:r>
        <w:rPr>
          <w:sz w:val="24"/>
          <w:szCs w:val="24"/>
        </w:rPr>
        <w:t xml:space="preserve"> </w:t>
      </w:r>
      <w:r>
        <w:rPr>
          <w:rFonts w:hint="eastAsia"/>
          <w:sz w:val="24"/>
          <w:szCs w:val="24"/>
        </w:rPr>
        <w:t>气体检测设备”。驱气、除气等作业过程和气体检测密切相关。因此有必要对相关气体检测设备提出要求，在此明确了设备种类及要求。该条款保留JT 154-1994的相关内容，同时也参考了ISGOTT指南。</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6 \* GB3</w:instrText>
      </w:r>
      <w:r>
        <w:rPr>
          <w:sz w:val="24"/>
          <w:szCs w:val="24"/>
        </w:rPr>
        <w:instrText xml:space="preserve"> </w:instrText>
      </w:r>
      <w:r>
        <w:rPr>
          <w:sz w:val="24"/>
          <w:szCs w:val="24"/>
        </w:rPr>
        <w:fldChar w:fldCharType="separate"/>
      </w:r>
      <w:r>
        <w:rPr>
          <w:rFonts w:hint="eastAsia"/>
          <w:sz w:val="24"/>
          <w:szCs w:val="24"/>
        </w:rPr>
        <w:t>⑥</w:t>
      </w:r>
      <w:r>
        <w:rPr>
          <w:sz w:val="24"/>
          <w:szCs w:val="24"/>
        </w:rPr>
        <w:fldChar w:fldCharType="end"/>
      </w:r>
      <w:r>
        <w:rPr>
          <w:rFonts w:hint="eastAsia"/>
          <w:sz w:val="24"/>
          <w:szCs w:val="24"/>
        </w:rPr>
        <w:t>条款“4.2.6</w:t>
      </w:r>
      <w:r>
        <w:rPr>
          <w:sz w:val="24"/>
          <w:szCs w:val="24"/>
        </w:rPr>
        <w:t xml:space="preserve"> </w:t>
      </w:r>
      <w:r>
        <w:rPr>
          <w:rFonts w:hint="eastAsia"/>
          <w:sz w:val="24"/>
          <w:szCs w:val="24"/>
        </w:rPr>
        <w:t>洗舱站（趸船）”。规定了内河洗舱站（趸船）作业中洗舱站（趸船）与洗舱船舶之间的有效导电跨接、连接软管的有效连接，以及扫舱软管的导电连续性等，确保安全作业。该条款同时也参考了我国相关行业标准以及ISGOTT指南的相关要求。</w:t>
      </w:r>
    </w:p>
    <w:p>
      <w:pPr>
        <w:pStyle w:val="18"/>
        <w:spacing w:beforeLines="50"/>
        <w:ind w:firstLine="480"/>
        <w:jc w:val="both"/>
        <w:rPr>
          <w:sz w:val="24"/>
          <w:szCs w:val="24"/>
        </w:rPr>
      </w:pPr>
      <w:r>
        <w:rPr>
          <w:rFonts w:hint="eastAsia"/>
          <w:sz w:val="24"/>
          <w:szCs w:val="24"/>
        </w:rPr>
        <w:t>（3）对洗舱作业人员的要求。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条款“4.3.1</w:t>
      </w:r>
      <w:r>
        <w:rPr>
          <w:sz w:val="24"/>
          <w:szCs w:val="24"/>
        </w:rPr>
        <w:t xml:space="preserve"> </w:t>
      </w:r>
      <w:r>
        <w:rPr>
          <w:rFonts w:hint="eastAsia"/>
          <w:sz w:val="24"/>
          <w:szCs w:val="24"/>
        </w:rPr>
        <w:t>从事洗舱作业的人员应经过培训”。提出本条要求，是要求所有从事洗舱作业的船员或洗舱站工作人员均应经过培训，以保证作业的人员专业性。此外，目前海事主管部门对海船、内河船船员特殊培训的考试、发证等已做出了明确要求，同时也已取消了“原油洗舱监督员资格证书”。因此，本标准不再对从事洗舱作业的人员提出具体的相关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条款“4.3.2”提出了对洗舱作业负责人的职责要求。洗舱作业环节众多，涉及面广，因此强调洗舱作业负责人必须监督所有清洗舱作业，以确保洗舱作业负责人能对洗舱作业全过程负责。</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条款“4.3.3”“4.3.4”“4.3.5”对原油洗舱作业人员、负责人员的资质提出明确要求。根据MARPOL公约附则I第13B(2)条关于原油洗舱要求、</w:t>
      </w:r>
      <w:r>
        <w:rPr>
          <w:sz w:val="24"/>
          <w:szCs w:val="24"/>
        </w:rPr>
        <w:t>IMO</w:t>
      </w:r>
      <w:r>
        <w:rPr>
          <w:rFonts w:hint="eastAsia"/>
          <w:sz w:val="24"/>
          <w:szCs w:val="24"/>
        </w:rPr>
        <w:t xml:space="preserve"> </w:t>
      </w:r>
      <w:r>
        <w:rPr>
          <w:sz w:val="24"/>
          <w:szCs w:val="24"/>
        </w:rPr>
        <w:t>A</w:t>
      </w:r>
      <w:r>
        <w:rPr>
          <w:rFonts w:hint="eastAsia"/>
          <w:sz w:val="24"/>
          <w:szCs w:val="24"/>
        </w:rPr>
        <w:t>.</w:t>
      </w:r>
      <w:r>
        <w:rPr>
          <w:sz w:val="24"/>
          <w:szCs w:val="24"/>
        </w:rPr>
        <w:t>446</w:t>
      </w:r>
      <w:r>
        <w:rPr>
          <w:rFonts w:hint="eastAsia"/>
          <w:sz w:val="24"/>
          <w:szCs w:val="24"/>
        </w:rPr>
        <w:t>及A.497等相关内容要求，结合我国实际情况，提出本要求。</w:t>
      </w:r>
    </w:p>
    <w:p>
      <w:pPr>
        <w:pStyle w:val="18"/>
        <w:spacing w:beforeLines="50"/>
        <w:ind w:firstLine="480"/>
        <w:jc w:val="both"/>
        <w:rPr>
          <w:sz w:val="24"/>
          <w:szCs w:val="24"/>
        </w:rPr>
      </w:pPr>
      <w:r>
        <w:rPr>
          <w:rFonts w:hint="eastAsia"/>
          <w:sz w:val="24"/>
          <w:szCs w:val="24"/>
        </w:rPr>
        <w:t>（4）对洗舱作业条件的要求。</w:t>
      </w:r>
    </w:p>
    <w:p>
      <w:pPr>
        <w:pStyle w:val="18"/>
        <w:spacing w:beforeLines="50"/>
        <w:ind w:firstLine="480"/>
        <w:jc w:val="both"/>
        <w:rPr>
          <w:sz w:val="24"/>
          <w:szCs w:val="24"/>
        </w:rPr>
      </w:pPr>
      <w:r>
        <w:rPr>
          <w:rFonts w:hint="eastAsia"/>
          <w:sz w:val="24"/>
          <w:szCs w:val="24"/>
        </w:rPr>
        <w:t>条款“4.4.1”“4.4.2”提出了对洗舱作业环境条件的要求。洗舱作业不仅原油洗舱是高风险作业，其他洗舱作业也是高风险作业，为确保洗舱作业安全，应提出必要的洗舱作业环境条件的要求，确保作业安全。该条款保留JT 154-1994的相关内容。</w:t>
      </w:r>
    </w:p>
    <w:p>
      <w:pPr>
        <w:pStyle w:val="18"/>
        <w:spacing w:beforeLines="50"/>
        <w:ind w:firstLine="480"/>
        <w:jc w:val="both"/>
        <w:rPr>
          <w:sz w:val="24"/>
          <w:szCs w:val="24"/>
        </w:rPr>
      </w:pPr>
      <w:r>
        <w:rPr>
          <w:rFonts w:hint="eastAsia"/>
          <w:sz w:val="24"/>
          <w:szCs w:val="24"/>
        </w:rPr>
        <w:t>（5）对安全的要求。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条款“4.5.1</w:t>
      </w:r>
      <w:r>
        <w:rPr>
          <w:sz w:val="24"/>
          <w:szCs w:val="24"/>
        </w:rPr>
        <w:t xml:space="preserve"> </w:t>
      </w:r>
      <w:r>
        <w:rPr>
          <w:rFonts w:hint="eastAsia"/>
          <w:sz w:val="24"/>
          <w:szCs w:val="24"/>
        </w:rPr>
        <w:t>风险管理”。作业安全，贵在事前风险控制。本条主要通过规范作业流程，将系统风险控制在作业之前以及过程中。子条款“4.5.1.1”“4.5.1.2”对洗舱作业计划提出了要求。由于不同的洗舱船舶，不同的洗舱方式，存在不同的洗舱作业流程，因此本标准只提出原则性要求，即要求根据自身情况制定详细的洗舱作业计划，同时要在制定计划的过程中，就要考虑各个作业环节存在的相关风险，并在计划制定过程中对相关风险予以评估，采取相应预防措施，以使风险尽可能降低。至于具体作业计划如何制定以及如何实施，作业方应根据具体作业流程、作业设备等的具体特点，参照相关操作手册，予以制定。本标准不再给出详细规定。这也是目前国际通行做法。子条款“4.5.1.3”“4.5.1.4”“4.5.15”“4.5.1.6”对清洗舱的通风、附近火灾、消防应急设备以及防火、防爆、防静电等提出了一般性风险管理要求。该条款同时参考了ISGOTT指南的相关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条款“4.5.2</w:t>
      </w:r>
      <w:r>
        <w:rPr>
          <w:sz w:val="24"/>
          <w:szCs w:val="24"/>
        </w:rPr>
        <w:t xml:space="preserve"> </w:t>
      </w:r>
      <w:r>
        <w:rPr>
          <w:rFonts w:hint="eastAsia"/>
          <w:sz w:val="24"/>
          <w:szCs w:val="24"/>
        </w:rPr>
        <w:t>人员保护”。作为洗舱安全作业要求的一个基本要求，提出在作业过程中对相关作业人员的保护性要求，这是安全要求的基本组成部分。</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条款“4.5.3</w:t>
      </w:r>
      <w:r>
        <w:rPr>
          <w:sz w:val="24"/>
          <w:szCs w:val="24"/>
        </w:rPr>
        <w:t xml:space="preserve"> </w:t>
      </w:r>
      <w:r>
        <w:rPr>
          <w:rFonts w:hint="eastAsia"/>
          <w:sz w:val="24"/>
          <w:szCs w:val="24"/>
        </w:rPr>
        <w:t>警示布告”。清洗舱作业过程存在诸多风险，因此有必要进行警示布告，提示不要进入危险区域、避免误操作等。</w:t>
      </w:r>
    </w:p>
    <w:p>
      <w:pPr>
        <w:pStyle w:val="18"/>
        <w:spacing w:beforeLines="50"/>
        <w:ind w:firstLine="482"/>
        <w:jc w:val="both"/>
        <w:rPr>
          <w:b/>
          <w:sz w:val="24"/>
          <w:szCs w:val="24"/>
        </w:rPr>
      </w:pPr>
      <w:r>
        <w:rPr>
          <w:rFonts w:hint="eastAsia"/>
          <w:b/>
          <w:sz w:val="24"/>
          <w:szCs w:val="24"/>
        </w:rPr>
        <w:t>4．清洗舱。</w:t>
      </w:r>
    </w:p>
    <w:p>
      <w:pPr>
        <w:pStyle w:val="18"/>
        <w:spacing w:beforeLines="50"/>
        <w:ind w:firstLine="480"/>
        <w:jc w:val="both"/>
        <w:rPr>
          <w:sz w:val="24"/>
          <w:szCs w:val="24"/>
        </w:rPr>
      </w:pPr>
      <w:r>
        <w:rPr>
          <w:rFonts w:hint="eastAsia"/>
          <w:sz w:val="24"/>
          <w:szCs w:val="24"/>
        </w:rPr>
        <w:t>目前在洗舱船舶、洗舱设备、作业人员、作业流程日趋规范的情况下，大型原油油船的原油洗舱作业已经作为货油作业的一个组成部分进行了规范化管理，作业风险得到有效控制。而我国目前还普遍存在内河的水洗舱作业以及船舶的清舱作业。由于清洗舱船舶、清洗舱设备、作业人员、作业流程等存在较大差异，因此是目前油船清洗舱作业领域存在的较大风险源。原油洗舱是洗舱作业的一种特殊情况。基于此，本次标准编制按照正常顺序首先阐述对清洗舱作业的要求，之后再阐述对原油洗舱的要求，并在洗舱作业中，重点针对目前内河普遍存在的非惰化洗舱提出相关安全作业要求，同时也提出了对特种清舱方法的要求。</w:t>
      </w:r>
    </w:p>
    <w:p>
      <w:pPr>
        <w:pStyle w:val="18"/>
        <w:spacing w:beforeLines="50"/>
        <w:ind w:firstLine="480"/>
        <w:jc w:val="both"/>
        <w:rPr>
          <w:sz w:val="24"/>
          <w:szCs w:val="24"/>
        </w:rPr>
      </w:pPr>
      <w:r>
        <w:rPr>
          <w:rFonts w:hint="eastAsia"/>
          <w:sz w:val="24"/>
          <w:szCs w:val="24"/>
        </w:rPr>
        <w:t>（1）惰化状况下的洗舱。</w:t>
      </w:r>
    </w:p>
    <w:p>
      <w:pPr>
        <w:pStyle w:val="18"/>
        <w:spacing w:beforeLines="50"/>
        <w:ind w:firstLine="480"/>
        <w:jc w:val="both"/>
        <w:rPr>
          <w:sz w:val="24"/>
          <w:szCs w:val="24"/>
        </w:rPr>
      </w:pPr>
      <w:r>
        <w:rPr>
          <w:rFonts w:hint="eastAsia"/>
          <w:sz w:val="24"/>
          <w:szCs w:val="24"/>
        </w:rPr>
        <w:t>条款“5.1.1”“5.1.2”“5.1.3”分别针对洗舱作业前、洗舱作业时提出了相关安全要求。在洗舱作业过程中，保证舱内氧气浓度在安全范围内是必须的，同时要控制舱内压力，以防压力过低造成外界空气侵入。此外，根据实际调研结果，目前舱气测量设备较多，不宜在标准中特定哪种测量仪器，只要满足前文4.2.1、4.2.5条款规定的设备要求，则均可在作业中使用。本标准只提出对具体测量结果的要求，同时对测点、舱内压力提出了更为严格而具体的要求。该条保留了JT 154-1994的相关条款内容，同时也参考了I</w:t>
      </w:r>
      <w:r>
        <w:rPr>
          <w:sz w:val="24"/>
          <w:szCs w:val="24"/>
        </w:rPr>
        <w:t>MO MSC292(87)16</w:t>
      </w:r>
      <w:r>
        <w:rPr>
          <w:rFonts w:hint="eastAsia"/>
          <w:sz w:val="24"/>
          <w:szCs w:val="24"/>
        </w:rPr>
        <w:t>、ISGOTT指南的相关要求。</w:t>
      </w:r>
    </w:p>
    <w:p>
      <w:pPr>
        <w:pStyle w:val="18"/>
        <w:spacing w:beforeLines="50"/>
        <w:ind w:firstLine="480"/>
        <w:jc w:val="both"/>
        <w:rPr>
          <w:sz w:val="24"/>
          <w:szCs w:val="24"/>
        </w:rPr>
      </w:pPr>
      <w:r>
        <w:rPr>
          <w:rFonts w:hint="eastAsia"/>
          <w:sz w:val="24"/>
          <w:szCs w:val="24"/>
        </w:rPr>
        <w:t>（2）非惰化状况下的洗舱。</w:t>
      </w:r>
    </w:p>
    <w:p>
      <w:pPr>
        <w:pStyle w:val="18"/>
        <w:spacing w:beforeLines="50"/>
        <w:ind w:firstLine="480"/>
        <w:jc w:val="both"/>
        <w:rPr>
          <w:sz w:val="24"/>
          <w:szCs w:val="24"/>
        </w:rPr>
      </w:pPr>
      <w:r>
        <w:rPr>
          <w:rFonts w:hint="eastAsia"/>
          <w:sz w:val="24"/>
          <w:szCs w:val="24"/>
        </w:rPr>
        <w:t>条款“5.2.1”“5.2.2”“5.2.3”细化了非惰化状况下的洗舱作业在作业前、洗舱作业中以及风险控制的安全要求。非惰化状况下的洗舱是我国目前内河水洗舱作业过程中普遍存在情况，也是风险最高的一种洗舱作业方式。本次标准编制针对目前非惰化状况下的洗舱各个重要环节，分别从作业前、作业中、风险控制等各个环节提出安全要求，以对各个过程的作业风险予以控制，进一步保证作业安全。该条款是本次标准编制的重点。具体编制内容也参考了S</w:t>
      </w:r>
      <w:r>
        <w:rPr>
          <w:sz w:val="24"/>
          <w:szCs w:val="24"/>
        </w:rPr>
        <w:t>OLAS</w:t>
      </w:r>
      <w:r>
        <w:rPr>
          <w:rFonts w:hint="eastAsia"/>
          <w:sz w:val="24"/>
          <w:szCs w:val="24"/>
        </w:rPr>
        <w:t>公约、F</w:t>
      </w:r>
      <w:r>
        <w:rPr>
          <w:sz w:val="24"/>
          <w:szCs w:val="24"/>
        </w:rPr>
        <w:t>SS</w:t>
      </w:r>
      <w:r>
        <w:rPr>
          <w:rFonts w:hint="eastAsia"/>
          <w:sz w:val="24"/>
          <w:szCs w:val="24"/>
        </w:rPr>
        <w:t>规则以及ISGOTT指南的相关要求。</w:t>
      </w:r>
    </w:p>
    <w:p>
      <w:pPr>
        <w:pStyle w:val="18"/>
        <w:spacing w:beforeLines="50"/>
        <w:ind w:firstLine="480"/>
        <w:jc w:val="both"/>
        <w:rPr>
          <w:sz w:val="24"/>
          <w:szCs w:val="24"/>
        </w:rPr>
      </w:pPr>
      <w:r>
        <w:rPr>
          <w:rFonts w:hint="eastAsia"/>
          <w:sz w:val="24"/>
          <w:szCs w:val="24"/>
        </w:rPr>
        <w:t>（3）特种清舱方法。</w:t>
      </w:r>
    </w:p>
    <w:p>
      <w:pPr>
        <w:pStyle w:val="18"/>
        <w:spacing w:beforeLines="50"/>
        <w:ind w:firstLine="480"/>
        <w:jc w:val="both"/>
        <w:rPr>
          <w:sz w:val="24"/>
          <w:szCs w:val="24"/>
        </w:rPr>
      </w:pPr>
      <w:r>
        <w:rPr>
          <w:rFonts w:hint="eastAsia"/>
          <w:sz w:val="24"/>
          <w:szCs w:val="24"/>
        </w:rPr>
        <w:t>条款“5.3</w:t>
      </w:r>
      <w:r>
        <w:rPr>
          <w:sz w:val="24"/>
          <w:szCs w:val="24"/>
        </w:rPr>
        <w:t xml:space="preserve"> </w:t>
      </w:r>
      <w:r>
        <w:rPr>
          <w:rFonts w:hint="eastAsia"/>
          <w:sz w:val="24"/>
          <w:szCs w:val="24"/>
        </w:rPr>
        <w:t>特种清舱方法”。在实际调研中，目前我国成品油/化学品船的洗舱作业，为保证货品质量，往往采用蒸汽清舱和使用化学清洗剂，这是一高风险作业，且作业大多是在未配置惰性气体系统的船舶上进行。为控制这一高危作业风险，有必要提出相应的安全作业要求。具体条款“5.3.1”“5.3.2”“5.3.3”“5.3.4”“5.3.5”的编制参考了ISGOTT指南的相关内容，要求与之基本一致。</w:t>
      </w:r>
    </w:p>
    <w:p>
      <w:pPr>
        <w:pStyle w:val="18"/>
        <w:spacing w:beforeLines="50"/>
        <w:ind w:firstLine="482"/>
        <w:jc w:val="both"/>
        <w:rPr>
          <w:b/>
          <w:sz w:val="24"/>
          <w:szCs w:val="24"/>
        </w:rPr>
      </w:pPr>
      <w:r>
        <w:rPr>
          <w:rFonts w:hint="eastAsia"/>
          <w:b/>
          <w:sz w:val="24"/>
          <w:szCs w:val="24"/>
        </w:rPr>
        <w:t>5．原油洗舱。</w:t>
      </w:r>
    </w:p>
    <w:p>
      <w:pPr>
        <w:pStyle w:val="18"/>
        <w:spacing w:beforeLines="50"/>
        <w:ind w:firstLine="480"/>
        <w:jc w:val="both"/>
        <w:rPr>
          <w:sz w:val="24"/>
          <w:szCs w:val="24"/>
        </w:rPr>
      </w:pPr>
      <w:r>
        <w:rPr>
          <w:rFonts w:hint="eastAsia"/>
          <w:sz w:val="24"/>
          <w:szCs w:val="24"/>
        </w:rPr>
        <w:t>（1）原油洗舱作业计划。</w:t>
      </w:r>
    </w:p>
    <w:p>
      <w:pPr>
        <w:pStyle w:val="18"/>
        <w:spacing w:beforeLines="50"/>
        <w:ind w:firstLine="480"/>
        <w:jc w:val="both"/>
        <w:rPr>
          <w:sz w:val="24"/>
          <w:szCs w:val="24"/>
        </w:rPr>
      </w:pPr>
      <w:r>
        <w:rPr>
          <w:rFonts w:hint="eastAsia"/>
          <w:sz w:val="24"/>
          <w:szCs w:val="24"/>
        </w:rPr>
        <w:t>条款“6. 2”对原油洗舱作业计划的制定及实施作出了原则性规定。因原油洗舱作业计划具体内容在IMO颁布的《原油洗舱操作和设备手册》中进行了详细说明，因此本标准不再对计划的具体内容提出要求及说明，只规定相关必要的原则。具体编制内容保留了JT 154-1994的相关条款内容。</w:t>
      </w:r>
    </w:p>
    <w:p>
      <w:pPr>
        <w:pStyle w:val="18"/>
        <w:spacing w:beforeLines="50"/>
        <w:ind w:firstLine="480"/>
        <w:jc w:val="both"/>
        <w:rPr>
          <w:sz w:val="24"/>
          <w:szCs w:val="24"/>
        </w:rPr>
      </w:pPr>
      <w:r>
        <w:rPr>
          <w:rFonts w:hint="eastAsia"/>
          <w:sz w:val="24"/>
          <w:szCs w:val="24"/>
        </w:rPr>
        <w:t>（2）原油洗舱作业实施。</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条款“6.3.1</w:t>
      </w:r>
      <w:r>
        <w:rPr>
          <w:sz w:val="24"/>
          <w:szCs w:val="24"/>
        </w:rPr>
        <w:t xml:space="preserve"> </w:t>
      </w:r>
      <w:r>
        <w:rPr>
          <w:rFonts w:hint="eastAsia"/>
          <w:sz w:val="24"/>
          <w:szCs w:val="24"/>
        </w:rPr>
        <w:t>需在卸油中进行原油洗舱时，应经卸货方（卸货港或船对船过驳时的二程船）认可后，方可进行原油洗舱作业”。如在卸油过程中进行原油洗舱，洗舱作业会对卸货作业产生一定影响，因此应征得卸货方的认可。该条款保留JT 154-1994的相关内容，同时也参考了ISGOTT指南。</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条款“6.3.2</w:t>
      </w:r>
      <w:r>
        <w:rPr>
          <w:sz w:val="24"/>
          <w:szCs w:val="24"/>
        </w:rPr>
        <w:t xml:space="preserve"> </w:t>
      </w:r>
      <w:r>
        <w:rPr>
          <w:rFonts w:hint="eastAsia"/>
          <w:sz w:val="24"/>
          <w:szCs w:val="24"/>
        </w:rPr>
        <w:t>原油洗舱作业前，整个洗舱系统应以正常工作压力试压并查漏。洗舱作业期间，必须始终对系统进行监视，以便能立即发现泄漏并采取措施加以处理。洗舱期间液舱转换时，要合理控制以免管系压力波动剧烈造成损坏”。加强原油洗舱作业过程中的系统风险控制。具体编制内容也参考了ISGOTT指南的相关要求进行完善。</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条款“6.3.3 洗舱油必须是与被清洗油舱所载油相同品种，洗舱油内不应混入杂质和水。应将预定用做洗舱油的油舱卸掉1m舱深后才能供洗舱使用”。洗舱油与货舱载油不同将造成货损；洗舱油内混入杂质或水将增加洗舱作业产生静电等风险，因此应予以控制。该条款保留JT 154-1994的相关内容。</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4 \* GB3</w:instrText>
      </w:r>
      <w:r>
        <w:rPr>
          <w:sz w:val="24"/>
          <w:szCs w:val="24"/>
        </w:rPr>
        <w:instrText xml:space="preserve"> </w:instrText>
      </w:r>
      <w:r>
        <w:rPr>
          <w:sz w:val="24"/>
          <w:szCs w:val="24"/>
        </w:rPr>
        <w:fldChar w:fldCharType="separate"/>
      </w:r>
      <w:r>
        <w:rPr>
          <w:rFonts w:hint="eastAsia"/>
          <w:sz w:val="24"/>
          <w:szCs w:val="24"/>
        </w:rPr>
        <w:t>④</w:t>
      </w:r>
      <w:r>
        <w:rPr>
          <w:sz w:val="24"/>
          <w:szCs w:val="24"/>
        </w:rPr>
        <w:fldChar w:fldCharType="end"/>
      </w:r>
      <w:r>
        <w:rPr>
          <w:rFonts w:hint="eastAsia"/>
          <w:sz w:val="24"/>
          <w:szCs w:val="24"/>
        </w:rPr>
        <w:t>条款“6.3.4</w:t>
      </w:r>
      <w:r>
        <w:rPr>
          <w:sz w:val="24"/>
          <w:szCs w:val="24"/>
        </w:rPr>
        <w:t xml:space="preserve"> </w:t>
      </w:r>
      <w:r>
        <w:rPr>
          <w:rFonts w:hint="eastAsia"/>
          <w:sz w:val="24"/>
          <w:szCs w:val="24"/>
        </w:rPr>
        <w:t>如果洗舱水加热器装在机舱外部，在原油洗舱期间必须用盲板将其隔离”。加强原油洗舱作业过程中的系统风险控制。该条款也参考了ISGOTT指南进行了完善。</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5 \* GB3</w:instrText>
      </w:r>
      <w:r>
        <w:rPr>
          <w:sz w:val="24"/>
          <w:szCs w:val="24"/>
        </w:rPr>
        <w:instrText xml:space="preserve"> </w:instrText>
      </w:r>
      <w:r>
        <w:rPr>
          <w:sz w:val="24"/>
          <w:szCs w:val="24"/>
        </w:rPr>
        <w:fldChar w:fldCharType="separate"/>
      </w:r>
      <w:r>
        <w:rPr>
          <w:rFonts w:hint="eastAsia"/>
          <w:sz w:val="24"/>
          <w:szCs w:val="24"/>
        </w:rPr>
        <w:t>⑤</w:t>
      </w:r>
      <w:r>
        <w:rPr>
          <w:sz w:val="24"/>
          <w:szCs w:val="24"/>
        </w:rPr>
        <w:fldChar w:fldCharType="end"/>
      </w:r>
      <w:r>
        <w:rPr>
          <w:rFonts w:hint="eastAsia"/>
          <w:sz w:val="24"/>
          <w:szCs w:val="24"/>
        </w:rPr>
        <w:t>条款“6.3.5 用污油水舱作洗舱油供给舱时，必须先将其混有污油的原油全部卸掉，用原油清洗后再装入清洁货油作为清洗用原油。扫舱抽回的原油不能直接排入该舱，应先排到另一污油舱，经一定时间沉淀分离后，再经水平连通管流入该舱”。洗舱中原油如混有污油，一是会增加洗舱静电风险，二是不能有效保证洗舱质量，因此须保证洗舱原油的品质。该条款保留JT 154-1994的相关内容。</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6 \* GB3</w:instrText>
      </w:r>
      <w:r>
        <w:rPr>
          <w:sz w:val="24"/>
          <w:szCs w:val="24"/>
        </w:rPr>
        <w:instrText xml:space="preserve"> </w:instrText>
      </w:r>
      <w:r>
        <w:rPr>
          <w:sz w:val="24"/>
          <w:szCs w:val="24"/>
        </w:rPr>
        <w:fldChar w:fldCharType="separate"/>
      </w:r>
      <w:r>
        <w:rPr>
          <w:rFonts w:hint="eastAsia"/>
          <w:sz w:val="24"/>
          <w:szCs w:val="24"/>
        </w:rPr>
        <w:t>⑥</w:t>
      </w:r>
      <w:r>
        <w:rPr>
          <w:sz w:val="24"/>
          <w:szCs w:val="24"/>
        </w:rPr>
        <w:fldChar w:fldCharType="end"/>
      </w:r>
      <w:r>
        <w:rPr>
          <w:rFonts w:hint="eastAsia"/>
          <w:sz w:val="24"/>
          <w:szCs w:val="24"/>
        </w:rPr>
        <w:t>条款“6.3.6</w:t>
      </w:r>
      <w:r>
        <w:rPr>
          <w:sz w:val="24"/>
          <w:szCs w:val="24"/>
        </w:rPr>
        <w:t xml:space="preserve"> </w:t>
      </w:r>
      <w:r>
        <w:rPr>
          <w:rFonts w:hint="eastAsia"/>
          <w:sz w:val="24"/>
          <w:szCs w:val="24"/>
        </w:rPr>
        <w:t>控制油气散发”。综合考虑原油作业风险性，有必要对洗舱后压载出港的货舱油气散发进行控制。具体编制内容也参考了ISGOTT指南以及IMO A.446的相关要求。</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7 \* GB3</w:instrText>
      </w:r>
      <w:r>
        <w:rPr>
          <w:sz w:val="24"/>
          <w:szCs w:val="24"/>
        </w:rPr>
        <w:instrText xml:space="preserve"> </w:instrText>
      </w:r>
      <w:r>
        <w:rPr>
          <w:sz w:val="24"/>
          <w:szCs w:val="24"/>
        </w:rPr>
        <w:fldChar w:fldCharType="separate"/>
      </w:r>
      <w:r>
        <w:rPr>
          <w:rFonts w:hint="eastAsia"/>
          <w:sz w:val="24"/>
          <w:szCs w:val="24"/>
        </w:rPr>
        <w:t>⑦</w:t>
      </w:r>
      <w:r>
        <w:rPr>
          <w:sz w:val="24"/>
          <w:szCs w:val="24"/>
        </w:rPr>
        <w:fldChar w:fldCharType="end"/>
      </w:r>
      <w:r>
        <w:rPr>
          <w:rFonts w:hint="eastAsia"/>
          <w:sz w:val="24"/>
          <w:szCs w:val="24"/>
        </w:rPr>
        <w:t>条款“6.3.7 当发生下述情况时应立即通告港方(卸货方)负责人员”。原油洗舱过程涉及卸货，因此当洗舱作业计划等发生变化，应通告港方（卸货方）。该条款保留JT 154-1994的相关内容。</w:t>
      </w:r>
    </w:p>
    <w:p>
      <w:pPr>
        <w:pStyle w:val="18"/>
        <w:spacing w:beforeLines="50"/>
        <w:ind w:firstLine="480"/>
        <w:jc w:val="both"/>
        <w:rPr>
          <w:sz w:val="24"/>
          <w:szCs w:val="24"/>
        </w:rPr>
      </w:pPr>
      <w:r>
        <w:rPr>
          <w:rFonts w:hint="eastAsia"/>
          <w:sz w:val="24"/>
          <w:szCs w:val="24"/>
        </w:rPr>
        <w:t>（3）原油洗舱作业安全措施。</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条款“6.4.1</w:t>
      </w:r>
      <w:r>
        <w:rPr>
          <w:sz w:val="24"/>
          <w:szCs w:val="24"/>
        </w:rPr>
        <w:t xml:space="preserve"> </w:t>
      </w:r>
      <w:r>
        <w:rPr>
          <w:rFonts w:hint="eastAsia"/>
          <w:sz w:val="24"/>
          <w:szCs w:val="24"/>
        </w:rPr>
        <w:t>安全检查”。在原油洗舱作业前、作业期间和作业结束后，有必要对各相关方面进行安全检查，以确保系统不存在安全隐患。该条款保留JT 154-1994的相关内容。</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条款“6.4.2”“6.4.3”“6.4.4”“6.4.5”。在原油洗舱作业期间，须确保舱内氧气浓度、压力处于正常范围内，当出现非正常情况以及管系漏油等突发情况时，须中止作业。具体编制内容在JT 154-1994条款基础上，参考F</w:t>
      </w:r>
      <w:r>
        <w:rPr>
          <w:sz w:val="24"/>
          <w:szCs w:val="24"/>
        </w:rPr>
        <w:t>SS</w:t>
      </w:r>
      <w:r>
        <w:rPr>
          <w:rFonts w:hint="eastAsia"/>
          <w:sz w:val="24"/>
          <w:szCs w:val="24"/>
        </w:rPr>
        <w:t>、I</w:t>
      </w:r>
      <w:r>
        <w:rPr>
          <w:sz w:val="24"/>
          <w:szCs w:val="24"/>
        </w:rPr>
        <w:t>SGOTT</w:t>
      </w:r>
      <w:r>
        <w:rPr>
          <w:rFonts w:hint="eastAsia"/>
          <w:sz w:val="24"/>
          <w:szCs w:val="24"/>
        </w:rPr>
        <w:t>以及</w:t>
      </w:r>
      <w:r>
        <w:rPr>
          <w:sz w:val="24"/>
          <w:szCs w:val="24"/>
        </w:rPr>
        <w:t>IMO A.446</w:t>
      </w:r>
      <w:r>
        <w:rPr>
          <w:rFonts w:hint="eastAsia"/>
          <w:sz w:val="24"/>
          <w:szCs w:val="24"/>
        </w:rPr>
        <w:t>的相关内容进行了完善。</w:t>
      </w:r>
    </w:p>
    <w:p>
      <w:pPr>
        <w:pStyle w:val="18"/>
        <w:spacing w:beforeLines="50"/>
        <w:ind w:firstLine="482"/>
        <w:jc w:val="both"/>
        <w:rPr>
          <w:b/>
          <w:sz w:val="24"/>
          <w:szCs w:val="24"/>
        </w:rPr>
      </w:pPr>
      <w:r>
        <w:rPr>
          <w:rFonts w:hint="eastAsia"/>
          <w:b/>
          <w:sz w:val="24"/>
          <w:szCs w:val="24"/>
        </w:rPr>
        <w:t>6．除气作业。</w:t>
      </w:r>
    </w:p>
    <w:p>
      <w:pPr>
        <w:pStyle w:val="18"/>
        <w:spacing w:beforeLines="50"/>
        <w:ind w:firstLine="480"/>
        <w:jc w:val="both"/>
        <w:rPr>
          <w:sz w:val="24"/>
          <w:szCs w:val="24"/>
        </w:rPr>
      </w:pPr>
      <w:r>
        <w:rPr>
          <w:rFonts w:hint="eastAsia"/>
          <w:sz w:val="24"/>
          <w:szCs w:val="24"/>
        </w:rPr>
        <w:t>（1）准备工作。</w:t>
      </w:r>
    </w:p>
    <w:p>
      <w:pPr>
        <w:pStyle w:val="18"/>
        <w:spacing w:beforeLines="50"/>
        <w:ind w:firstLine="480"/>
        <w:jc w:val="both"/>
        <w:rPr>
          <w:sz w:val="24"/>
          <w:szCs w:val="24"/>
        </w:rPr>
      </w:pPr>
      <w:r>
        <w:rPr>
          <w:rFonts w:hint="eastAsia"/>
          <w:sz w:val="24"/>
          <w:szCs w:val="24"/>
        </w:rPr>
        <w:t>条款“7.1.1”“7.1.2”“7.1.3”“7.1.4”“7.1.5”。除气作业前制定作业计划是必须的，但考虑到内河洗舱站的除气作业等，各种作业计划不尽相同，作业计划人并非固定为大副，作业负责人也并非固定为船长。此外，在除气作业过程中，在货舱甲板周围空间会出现浓度较高的舱气，因此应确保周围空间的安全，同时还应充分考虑除气作业对码头方的风险性。该条款保留JT 154-1994的相关内容，同时也参考了ISGOTT指南。</w:t>
      </w:r>
    </w:p>
    <w:p>
      <w:pPr>
        <w:pStyle w:val="18"/>
        <w:spacing w:beforeLines="50"/>
        <w:ind w:firstLine="480"/>
        <w:jc w:val="both"/>
        <w:rPr>
          <w:sz w:val="24"/>
          <w:szCs w:val="24"/>
        </w:rPr>
      </w:pPr>
      <w:r>
        <w:rPr>
          <w:rFonts w:hint="eastAsia"/>
          <w:sz w:val="24"/>
          <w:szCs w:val="24"/>
        </w:rPr>
        <w:t>（2）除气作业。</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条款“7.2.1 装有惰性气体系统的除气程序”。先驱气，后除气。以使得舱内气体状态避开爆炸三角形。如采用稀释法除气，则应将供气量调至最大容量，以使得舱内气体状态快速通过爆炸三角形。该条款保留JT 154-1994的相关内容。</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条款“7.2.2 未装有惰气系统的除气程序”。一是快速使得舱内气体状态通过爆炸三角形；二是避免高浓度的舱气在甲板面聚积。具体编制内容保留了JT 154-1994相关条款内容，同时参考了</w:t>
      </w:r>
      <w:r>
        <w:rPr>
          <w:sz w:val="24"/>
          <w:szCs w:val="24"/>
        </w:rPr>
        <w:t>SOLAS</w:t>
      </w:r>
      <w:r>
        <w:rPr>
          <w:rFonts w:hint="eastAsia"/>
          <w:sz w:val="24"/>
          <w:szCs w:val="24"/>
        </w:rPr>
        <w:t>以及ISGOTT的相关内容。</w:t>
      </w:r>
    </w:p>
    <w:p>
      <w:pPr>
        <w:pStyle w:val="18"/>
        <w:spacing w:beforeLines="50"/>
        <w:ind w:firstLine="480"/>
        <w:jc w:val="both"/>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条款“7.2.3 其他舱室的除气”“7.2.4 不戴呼吸器具入舱的除气”和“7.2.5 为热工作业的除气”。除气作业是油船清洗舱作业过程中的一个重要环节，为确保人员入舱安全以及热工作业安全等，编制了相关条款内容。具体内容参考了ISGOTT指南的相关内容。</w:t>
      </w:r>
    </w:p>
    <w:p>
      <w:pPr>
        <w:pStyle w:val="18"/>
        <w:spacing w:beforeLines="50"/>
        <w:ind w:firstLine="480"/>
        <w:jc w:val="both"/>
        <w:rPr>
          <w:sz w:val="24"/>
          <w:szCs w:val="24"/>
        </w:rPr>
      </w:pPr>
      <w:r>
        <w:rPr>
          <w:rFonts w:hint="eastAsia"/>
          <w:sz w:val="24"/>
          <w:szCs w:val="24"/>
        </w:rPr>
        <w:t>（3）其他。</w:t>
      </w:r>
    </w:p>
    <w:p>
      <w:pPr>
        <w:pStyle w:val="18"/>
        <w:spacing w:beforeLines="50"/>
        <w:ind w:firstLine="480"/>
        <w:jc w:val="both"/>
        <w:rPr>
          <w:sz w:val="24"/>
          <w:szCs w:val="24"/>
        </w:rPr>
      </w:pPr>
      <w:r>
        <w:rPr>
          <w:rFonts w:hint="eastAsia"/>
          <w:sz w:val="24"/>
          <w:szCs w:val="24"/>
        </w:rPr>
        <w:t>条款“7.3.1”“7.3.2”“7.3.3”“7.3.4”“7.3.5”“7.3.6”。除气作业是油船清洗舱作业过程中的一个重要环节，根据ISGOTT相关内容，特在本次编制中设置了在除气作业过程中其他应考虑的相关要求。</w:t>
      </w:r>
    </w:p>
    <w:p>
      <w:pPr>
        <w:pStyle w:val="18"/>
        <w:spacing w:beforeLines="50"/>
        <w:ind w:firstLine="482"/>
        <w:jc w:val="both"/>
        <w:rPr>
          <w:b/>
          <w:sz w:val="24"/>
          <w:szCs w:val="24"/>
        </w:rPr>
      </w:pPr>
      <w:r>
        <w:rPr>
          <w:rFonts w:hint="eastAsia"/>
          <w:b/>
          <w:sz w:val="24"/>
          <w:szCs w:val="24"/>
        </w:rPr>
        <w:t>7．应急反应。</w:t>
      </w:r>
    </w:p>
    <w:p>
      <w:pPr>
        <w:pStyle w:val="18"/>
        <w:spacing w:beforeLines="50"/>
        <w:ind w:firstLine="480"/>
        <w:jc w:val="both"/>
        <w:rPr>
          <w:sz w:val="24"/>
          <w:szCs w:val="24"/>
        </w:rPr>
      </w:pPr>
      <w:r>
        <w:rPr>
          <w:rFonts w:hint="eastAsia"/>
          <w:sz w:val="24"/>
          <w:szCs w:val="24"/>
        </w:rPr>
        <w:t>条款“8</w:t>
      </w:r>
      <w:r>
        <w:rPr>
          <w:sz w:val="24"/>
          <w:szCs w:val="24"/>
        </w:rPr>
        <w:t xml:space="preserve"> </w:t>
      </w:r>
      <w:r>
        <w:rPr>
          <w:rFonts w:hint="eastAsia"/>
          <w:sz w:val="24"/>
          <w:szCs w:val="24"/>
        </w:rPr>
        <w:t>应急反应”。随着风险管理水平的提高，事故预防措施和事故应急处置措施应予以强化。本次编制增加了对相关应急预案的制定、应急预案的准备以及应急预案的演练等事故应急处置的要求，这是控制事故发生，降低事故后果的有效措施。</w:t>
      </w:r>
    </w:p>
    <w:p>
      <w:pPr>
        <w:pStyle w:val="18"/>
        <w:spacing w:beforeLines="50"/>
        <w:ind w:firstLine="482"/>
        <w:jc w:val="both"/>
        <w:rPr>
          <w:b/>
          <w:sz w:val="24"/>
          <w:szCs w:val="24"/>
        </w:rPr>
      </w:pPr>
      <w:r>
        <w:rPr>
          <w:rFonts w:hint="eastAsia"/>
          <w:b/>
          <w:sz w:val="24"/>
          <w:szCs w:val="24"/>
        </w:rPr>
        <w:t>9．附录A</w:t>
      </w:r>
      <w:r>
        <w:rPr>
          <w:b/>
          <w:sz w:val="24"/>
          <w:szCs w:val="24"/>
        </w:rPr>
        <w:t xml:space="preserve"> </w:t>
      </w:r>
      <w:r>
        <w:rPr>
          <w:rFonts w:hint="eastAsia"/>
          <w:b/>
          <w:sz w:val="24"/>
          <w:szCs w:val="24"/>
        </w:rPr>
        <w:t>原油洗舱作业安全确认表。</w:t>
      </w:r>
    </w:p>
    <w:p>
      <w:pPr>
        <w:pStyle w:val="18"/>
        <w:spacing w:beforeLines="50"/>
        <w:ind w:firstLine="480"/>
        <w:jc w:val="both"/>
        <w:rPr>
          <w:sz w:val="24"/>
          <w:szCs w:val="24"/>
        </w:rPr>
      </w:pPr>
      <w:r>
        <w:rPr>
          <w:rFonts w:hint="eastAsia"/>
          <w:sz w:val="24"/>
          <w:szCs w:val="24"/>
        </w:rPr>
        <w:t>编制了“附录A</w:t>
      </w:r>
      <w:r>
        <w:rPr>
          <w:sz w:val="24"/>
          <w:szCs w:val="24"/>
        </w:rPr>
        <w:t xml:space="preserve"> </w:t>
      </w:r>
      <w:r>
        <w:rPr>
          <w:rFonts w:hint="eastAsia"/>
          <w:sz w:val="24"/>
          <w:szCs w:val="24"/>
        </w:rPr>
        <w:t>原油洗舱作业安全确认表”。随着社会的发展以及行业的逐步成熟，经标准编制组的广泛调研，结合目前作业实际情况，编制了本附录A。</w:t>
      </w:r>
    </w:p>
    <w:p>
      <w:pPr>
        <w:pStyle w:val="2"/>
        <w:numPr>
          <w:ilvl w:val="0"/>
          <w:numId w:val="0"/>
        </w:numPr>
        <w:ind w:firstLine="482" w:firstLineChars="200"/>
      </w:pPr>
      <w:bookmarkStart w:id="18" w:name="_Toc15751152"/>
      <w:r>
        <w:rPr>
          <w:rFonts w:hint="eastAsia"/>
        </w:rPr>
        <w:t>三、国外相关法律、法规和标准情况的说明</w:t>
      </w:r>
      <w:bookmarkEnd w:id="18"/>
    </w:p>
    <w:p>
      <w:pPr>
        <w:pStyle w:val="3"/>
      </w:pPr>
      <w:bookmarkStart w:id="19" w:name="_Toc338226805"/>
      <w:bookmarkStart w:id="20" w:name="_Toc516735503"/>
      <w:bookmarkStart w:id="21" w:name="_Toc15751153"/>
      <w:bookmarkStart w:id="22" w:name="_Toc13222579"/>
      <w:r>
        <w:rPr>
          <w:rFonts w:hint="eastAsia"/>
        </w:rPr>
        <w:t>（一）相关</w:t>
      </w:r>
      <w:r>
        <w:t>国际公约</w:t>
      </w:r>
      <w:bookmarkEnd w:id="19"/>
      <w:r>
        <w:rPr>
          <w:rFonts w:hint="eastAsia"/>
        </w:rPr>
        <w:t>、规则要求</w:t>
      </w:r>
      <w:bookmarkEnd w:id="20"/>
      <w:bookmarkEnd w:id="21"/>
      <w:bookmarkEnd w:id="22"/>
      <w:r>
        <w:rPr>
          <w:rFonts w:hint="eastAsia"/>
        </w:rPr>
        <w:t>。</w:t>
      </w:r>
    </w:p>
    <w:p>
      <w:pPr>
        <w:pStyle w:val="18"/>
        <w:spacing w:beforeLines="50"/>
        <w:ind w:firstLine="480"/>
        <w:jc w:val="both"/>
        <w:rPr>
          <w:sz w:val="24"/>
          <w:szCs w:val="24"/>
        </w:rPr>
      </w:pPr>
      <w:r>
        <w:rPr>
          <w:rFonts w:hint="eastAsia"/>
          <w:sz w:val="24"/>
          <w:szCs w:val="24"/>
        </w:rPr>
        <w:t>国际海事组织（International Maritime Organization）是联合国负责海上航行安全和防止船舶造成海洋污染的一个专门机构，其所制定的相关公约、规则主要要求如下。</w:t>
      </w:r>
    </w:p>
    <w:p>
      <w:pPr>
        <w:pStyle w:val="18"/>
        <w:spacing w:beforeLines="50"/>
        <w:ind w:firstLine="482"/>
        <w:jc w:val="both"/>
        <w:rPr>
          <w:b/>
          <w:sz w:val="24"/>
          <w:szCs w:val="24"/>
        </w:rPr>
      </w:pPr>
      <w:r>
        <w:rPr>
          <w:rFonts w:hint="eastAsia"/>
          <w:b/>
          <w:sz w:val="24"/>
          <w:szCs w:val="24"/>
        </w:rPr>
        <w:t>1．国际海上人命安全公约（SOLAS公约）。</w:t>
      </w:r>
    </w:p>
    <w:p>
      <w:pPr>
        <w:pStyle w:val="18"/>
        <w:spacing w:beforeLines="50"/>
        <w:ind w:firstLine="480"/>
        <w:jc w:val="both"/>
        <w:rPr>
          <w:sz w:val="24"/>
          <w:szCs w:val="24"/>
        </w:rPr>
      </w:pPr>
      <w:r>
        <w:rPr>
          <w:rFonts w:hint="eastAsia"/>
          <w:sz w:val="24"/>
          <w:szCs w:val="24"/>
        </w:rPr>
        <w:t>SOLAS公约的主要目的是规定与安全相应的船舶构造、设备和操作的最低标准，由船旗国负责确保悬挂本国国旗的船舶达到相关标准。SOLAS公约有关油船洗舱的相关内容如下：</w:t>
      </w:r>
    </w:p>
    <w:tbl>
      <w:tblPr>
        <w:tblW w:w="8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8"/>
      </w:tblGrid>
      <w:tr>
        <w:tc>
          <w:tcPr>
            <w:tcW w:w="8268" w:type="dxa"/>
            <w:vAlign w:val="top"/>
          </w:tcPr>
          <w:p>
            <w:pPr>
              <w:pStyle w:val="18"/>
              <w:ind w:firstLine="480"/>
              <w:jc w:val="both"/>
              <w:rPr>
                <w:rFonts w:eastAsia="楷体"/>
                <w:sz w:val="24"/>
                <w:szCs w:val="24"/>
              </w:rPr>
            </w:pPr>
            <w:r>
              <w:rPr>
                <w:rFonts w:hint="eastAsia" w:eastAsia="楷体"/>
                <w:sz w:val="24"/>
                <w:szCs w:val="24"/>
              </w:rPr>
              <w:t>第II-2章 构造-防火、探火和灭火</w:t>
            </w:r>
          </w:p>
          <w:p>
            <w:pPr>
              <w:pStyle w:val="18"/>
              <w:ind w:firstLine="480"/>
              <w:jc w:val="both"/>
              <w:rPr>
                <w:rFonts w:eastAsia="楷体"/>
                <w:sz w:val="24"/>
                <w:szCs w:val="24"/>
              </w:rPr>
            </w:pPr>
            <w:r>
              <w:rPr>
                <w:rFonts w:hint="eastAsia" w:eastAsia="楷体"/>
                <w:sz w:val="24"/>
                <w:szCs w:val="24"/>
              </w:rPr>
              <w:t>B部分 火灾和爆炸的防止</w:t>
            </w:r>
          </w:p>
          <w:p>
            <w:pPr>
              <w:pStyle w:val="18"/>
              <w:ind w:firstLine="480"/>
              <w:jc w:val="both"/>
              <w:rPr>
                <w:rFonts w:eastAsia="楷体"/>
                <w:sz w:val="24"/>
                <w:szCs w:val="24"/>
              </w:rPr>
            </w:pPr>
            <w:r>
              <w:rPr>
                <w:rFonts w:hint="eastAsia" w:eastAsia="楷体"/>
                <w:sz w:val="24"/>
                <w:szCs w:val="24"/>
              </w:rPr>
              <w:t>5</w:t>
            </w:r>
            <w:r>
              <w:rPr>
                <w:rFonts w:eastAsia="楷体"/>
                <w:sz w:val="24"/>
                <w:szCs w:val="24"/>
              </w:rPr>
              <w:t xml:space="preserve"> </w:t>
            </w:r>
            <w:r>
              <w:rPr>
                <w:rFonts w:hint="eastAsia" w:eastAsia="楷体"/>
                <w:sz w:val="24"/>
                <w:szCs w:val="24"/>
              </w:rPr>
              <w:t>液货船的货物区域</w:t>
            </w:r>
          </w:p>
          <w:p>
            <w:pPr>
              <w:pStyle w:val="18"/>
              <w:ind w:firstLine="480"/>
              <w:jc w:val="both"/>
              <w:rPr>
                <w:rFonts w:eastAsia="楷体"/>
                <w:sz w:val="24"/>
                <w:szCs w:val="24"/>
              </w:rPr>
            </w:pPr>
            <w:r>
              <w:rPr>
                <w:rFonts w:hint="eastAsia" w:eastAsia="楷体"/>
                <w:sz w:val="24"/>
                <w:szCs w:val="24"/>
              </w:rPr>
              <w:t>5.3 液货舱透气</w:t>
            </w:r>
          </w:p>
          <w:p>
            <w:pPr>
              <w:pStyle w:val="18"/>
              <w:ind w:firstLine="480"/>
              <w:jc w:val="both"/>
              <w:rPr>
                <w:rFonts w:eastAsia="楷体"/>
                <w:sz w:val="24"/>
                <w:szCs w:val="24"/>
              </w:rPr>
            </w:pPr>
            <w:r>
              <w:rPr>
                <w:rFonts w:hint="eastAsia" w:eastAsia="楷体"/>
                <w:sz w:val="24"/>
                <w:szCs w:val="24"/>
              </w:rPr>
              <w:t>对液货舱的透气系统提出了相关要求。其中：</w:t>
            </w:r>
          </w:p>
          <w:p>
            <w:pPr>
              <w:pStyle w:val="18"/>
              <w:ind w:firstLine="480"/>
              <w:jc w:val="both"/>
              <w:rPr>
                <w:rFonts w:eastAsia="楷体"/>
                <w:sz w:val="24"/>
                <w:szCs w:val="24"/>
              </w:rPr>
            </w:pPr>
            <w:r>
              <w:rPr>
                <w:rFonts w:hint="eastAsia" w:eastAsia="楷体"/>
                <w:sz w:val="24"/>
                <w:szCs w:val="24"/>
              </w:rPr>
              <w:t>5.3.4 用于液货装卸和压载的透气出口</w:t>
            </w:r>
          </w:p>
          <w:p>
            <w:pPr>
              <w:pStyle w:val="18"/>
              <w:ind w:firstLine="480"/>
              <w:jc w:val="both"/>
              <w:rPr>
                <w:rFonts w:eastAsia="楷体"/>
                <w:sz w:val="24"/>
                <w:szCs w:val="24"/>
              </w:rPr>
            </w:pPr>
            <w:r>
              <w:rPr>
                <w:rFonts w:hint="eastAsia" w:eastAsia="楷体"/>
                <w:sz w:val="24"/>
                <w:szCs w:val="24"/>
              </w:rPr>
              <w:t>要求：使蒸气混合物能自由流通；或使蒸气混合物的排泄节流速度达到不小于30</w:t>
            </w:r>
            <w:r>
              <w:rPr>
                <w:rFonts w:eastAsia="楷体"/>
                <w:sz w:val="24"/>
                <w:szCs w:val="24"/>
              </w:rPr>
              <w:t xml:space="preserve"> </w:t>
            </w:r>
            <w:r>
              <w:rPr>
                <w:rFonts w:hint="eastAsia" w:eastAsia="楷体"/>
                <w:sz w:val="24"/>
                <w:szCs w:val="24"/>
              </w:rPr>
              <w:t>m/s；布置为使蒸气混合物垂直向上排出；当采用蒸气混合物自由排出的方式时，布置成该出口在液货舱甲板以上高度不少于6</w:t>
            </w:r>
            <w:r>
              <w:rPr>
                <w:rFonts w:eastAsia="楷体"/>
                <w:sz w:val="24"/>
                <w:szCs w:val="24"/>
              </w:rPr>
              <w:t xml:space="preserve"> </w:t>
            </w:r>
            <w:r>
              <w:rPr>
                <w:rFonts w:hint="eastAsia" w:eastAsia="楷体"/>
                <w:sz w:val="24"/>
                <w:szCs w:val="24"/>
              </w:rPr>
              <w:t>m，或者如果该出口位于距步桥4</w:t>
            </w:r>
            <w:r>
              <w:rPr>
                <w:rFonts w:eastAsia="楷体"/>
                <w:sz w:val="24"/>
                <w:szCs w:val="24"/>
              </w:rPr>
              <w:t xml:space="preserve"> </w:t>
            </w:r>
            <w:r>
              <w:rPr>
                <w:rFonts w:hint="eastAsia" w:eastAsia="楷体"/>
                <w:sz w:val="24"/>
                <w:szCs w:val="24"/>
              </w:rPr>
              <w:t>m 以内，则布置成在前后步桥以上高度不少于6</w:t>
            </w:r>
            <w:r>
              <w:rPr>
                <w:rFonts w:eastAsia="楷体"/>
                <w:sz w:val="24"/>
                <w:szCs w:val="24"/>
              </w:rPr>
              <w:t xml:space="preserve"> </w:t>
            </w:r>
            <w:r>
              <w:rPr>
                <w:rFonts w:hint="eastAsia" w:eastAsia="楷体"/>
                <w:sz w:val="24"/>
                <w:szCs w:val="24"/>
              </w:rPr>
              <w:t>m，且与含有着火源的围蔽处所的最近进气口和开口以及可能构成着火危险的甲板机械（可包括起锚机和锚链舱开口）和设备的水平距离不少于10</w:t>
            </w:r>
            <w:r>
              <w:rPr>
                <w:rFonts w:eastAsia="楷体"/>
                <w:sz w:val="24"/>
                <w:szCs w:val="24"/>
              </w:rPr>
              <w:t xml:space="preserve"> </w:t>
            </w:r>
            <w:r>
              <w:rPr>
                <w:rFonts w:hint="eastAsia" w:eastAsia="楷体"/>
                <w:sz w:val="24"/>
                <w:szCs w:val="24"/>
              </w:rPr>
              <w:t>m；和当采用高速排气的方式时，布置成在液货舱甲板以上高度不少于2</w:t>
            </w:r>
            <w:r>
              <w:rPr>
                <w:rFonts w:eastAsia="楷体"/>
                <w:sz w:val="24"/>
                <w:szCs w:val="24"/>
              </w:rPr>
              <w:t xml:space="preserve"> </w:t>
            </w:r>
            <w:r>
              <w:rPr>
                <w:rFonts w:hint="eastAsia" w:eastAsia="楷体"/>
                <w:sz w:val="24"/>
                <w:szCs w:val="24"/>
              </w:rPr>
              <w:t>m，且与含有着火源的围蔽处所的最近进气口和开口以及可能构成着火危险的甲板机械（可包括起锚机和锚链舱开口）和设备的水平距离不少于10</w:t>
            </w:r>
            <w:r>
              <w:rPr>
                <w:rFonts w:eastAsia="楷体"/>
                <w:sz w:val="24"/>
                <w:szCs w:val="24"/>
              </w:rPr>
              <w:t xml:space="preserve"> </w:t>
            </w:r>
            <w:r>
              <w:rPr>
                <w:rFonts w:hint="eastAsia" w:eastAsia="楷体"/>
                <w:sz w:val="24"/>
                <w:szCs w:val="24"/>
              </w:rPr>
              <w:t>m。这些出口应设有认可型的高速装置。</w:t>
            </w:r>
          </w:p>
          <w:p>
            <w:pPr>
              <w:pStyle w:val="18"/>
              <w:ind w:firstLine="480"/>
              <w:jc w:val="both"/>
              <w:rPr>
                <w:rFonts w:eastAsia="楷体"/>
                <w:sz w:val="24"/>
                <w:szCs w:val="24"/>
              </w:rPr>
            </w:pPr>
            <w:r>
              <w:rPr>
                <w:rFonts w:hint="eastAsia" w:eastAsia="楷体"/>
                <w:sz w:val="24"/>
                <w:szCs w:val="24"/>
              </w:rPr>
              <w:t>5.5 惰性气体系统</w:t>
            </w:r>
          </w:p>
          <w:p>
            <w:pPr>
              <w:pStyle w:val="18"/>
              <w:ind w:firstLine="480"/>
              <w:jc w:val="both"/>
              <w:rPr>
                <w:rFonts w:eastAsia="楷体"/>
                <w:sz w:val="24"/>
                <w:szCs w:val="24"/>
              </w:rPr>
            </w:pPr>
            <w:r>
              <w:rPr>
                <w:rFonts w:hint="eastAsia" w:eastAsia="楷体"/>
                <w:sz w:val="24"/>
                <w:szCs w:val="24"/>
              </w:rPr>
              <w:t>对惰性气体系统的适用范围、一般要求以及系统设计等提出了要求。</w:t>
            </w:r>
          </w:p>
          <w:p>
            <w:pPr>
              <w:pStyle w:val="18"/>
              <w:ind w:firstLine="480"/>
              <w:jc w:val="both"/>
              <w:rPr>
                <w:rFonts w:eastAsia="楷体"/>
                <w:sz w:val="24"/>
                <w:szCs w:val="24"/>
              </w:rPr>
            </w:pPr>
            <w:r>
              <w:rPr>
                <w:rFonts w:hint="eastAsia" w:eastAsia="楷体"/>
                <w:sz w:val="24"/>
                <w:szCs w:val="24"/>
              </w:rPr>
              <w:t>5.6 惰化、驱气和除气</w:t>
            </w:r>
          </w:p>
          <w:p>
            <w:pPr>
              <w:pStyle w:val="18"/>
              <w:ind w:firstLine="480"/>
              <w:jc w:val="both"/>
              <w:rPr>
                <w:rFonts w:eastAsia="楷体"/>
                <w:sz w:val="24"/>
                <w:szCs w:val="24"/>
              </w:rPr>
            </w:pPr>
            <w:r>
              <w:rPr>
                <w:rFonts w:hint="eastAsia" w:eastAsia="楷体"/>
                <w:sz w:val="24"/>
                <w:szCs w:val="24"/>
              </w:rPr>
              <w:t>5.6.1 驱气和/或除气的布置应能使由于空气中可燃气体的散布和液货舱内可燃混合气体的存在而造成的危险减至最低程度。</w:t>
            </w:r>
          </w:p>
          <w:p>
            <w:pPr>
              <w:pStyle w:val="18"/>
              <w:ind w:firstLine="480"/>
              <w:jc w:val="both"/>
              <w:rPr>
                <w:rFonts w:eastAsia="楷体"/>
                <w:sz w:val="24"/>
                <w:szCs w:val="24"/>
              </w:rPr>
            </w:pPr>
            <w:r>
              <w:rPr>
                <w:rFonts w:hint="eastAsia" w:eastAsia="楷体"/>
                <w:sz w:val="24"/>
                <w:szCs w:val="24"/>
              </w:rPr>
              <w:t>5.6.2 液货舱的驱气和/或除气程序应按第16.3.2 条的规定来进行。</w:t>
            </w:r>
          </w:p>
          <w:p>
            <w:pPr>
              <w:pStyle w:val="18"/>
              <w:ind w:firstLine="480"/>
              <w:jc w:val="both"/>
              <w:rPr>
                <w:rFonts w:eastAsia="楷体"/>
                <w:sz w:val="24"/>
                <w:szCs w:val="24"/>
              </w:rPr>
            </w:pPr>
            <w:r>
              <w:rPr>
                <w:rFonts w:hint="eastAsia" w:eastAsia="楷体"/>
                <w:sz w:val="24"/>
                <w:szCs w:val="24"/>
              </w:rPr>
              <w:t>5.6.3 对惰化、驱气或除气的布置提出了要求。</w:t>
            </w:r>
          </w:p>
          <w:p>
            <w:pPr>
              <w:pStyle w:val="18"/>
              <w:ind w:firstLine="480"/>
              <w:jc w:val="both"/>
              <w:rPr>
                <w:rFonts w:eastAsia="楷体"/>
                <w:sz w:val="24"/>
                <w:szCs w:val="24"/>
              </w:rPr>
            </w:pPr>
            <w:r>
              <w:rPr>
                <w:rFonts w:hint="eastAsia" w:eastAsia="楷体"/>
                <w:sz w:val="24"/>
                <w:szCs w:val="24"/>
              </w:rPr>
              <w:t>16.3.2 液货舱驱气和/或除气程序</w:t>
            </w:r>
          </w:p>
          <w:p>
            <w:pPr>
              <w:pStyle w:val="18"/>
              <w:ind w:firstLine="480"/>
              <w:jc w:val="both"/>
              <w:rPr>
                <w:rFonts w:eastAsia="楷体"/>
                <w:sz w:val="24"/>
                <w:szCs w:val="24"/>
              </w:rPr>
            </w:pPr>
            <w:r>
              <w:rPr>
                <w:rFonts w:hint="eastAsia" w:eastAsia="楷体"/>
                <w:sz w:val="24"/>
                <w:szCs w:val="24"/>
              </w:rPr>
              <w:t>16.3.2.1 如果船舶设有惰性气体系统，应首先按照第4.5.6 条的规定进行液货舱驱气，直到液货舱内碳氢化合物蒸气的浓度（按体积计算）降至2%以下。在此之后，可在液货舱甲板面上进行除气。</w:t>
            </w:r>
          </w:p>
          <w:p>
            <w:pPr>
              <w:pStyle w:val="18"/>
              <w:ind w:firstLine="480"/>
              <w:jc w:val="both"/>
              <w:rPr>
                <w:rFonts w:eastAsia="楷体"/>
                <w:sz w:val="24"/>
                <w:szCs w:val="24"/>
              </w:rPr>
            </w:pPr>
            <w:r>
              <w:rPr>
                <w:rFonts w:hint="eastAsia" w:eastAsia="楷体"/>
                <w:sz w:val="24"/>
                <w:szCs w:val="24"/>
              </w:rPr>
              <w:t>16.3.2.2 如果船舶未设有惰性气体系统，其操作应首先排除易燃气体：</w:t>
            </w:r>
          </w:p>
          <w:p>
            <w:pPr>
              <w:pStyle w:val="18"/>
              <w:ind w:firstLine="480"/>
              <w:jc w:val="both"/>
              <w:rPr>
                <w:rFonts w:eastAsia="楷体"/>
                <w:sz w:val="24"/>
                <w:szCs w:val="24"/>
              </w:rPr>
            </w:pPr>
            <w:r>
              <w:rPr>
                <w:rFonts w:hint="eastAsia" w:eastAsia="楷体"/>
                <w:sz w:val="24"/>
                <w:szCs w:val="24"/>
              </w:rPr>
              <w:t>.1 通过第4.5.3.4 条规定的透气出口；</w:t>
            </w:r>
          </w:p>
          <w:p>
            <w:pPr>
              <w:pStyle w:val="18"/>
              <w:ind w:firstLine="480"/>
              <w:jc w:val="both"/>
              <w:rPr>
                <w:rFonts w:eastAsia="楷体"/>
                <w:sz w:val="24"/>
                <w:szCs w:val="24"/>
              </w:rPr>
            </w:pPr>
            <w:r>
              <w:rPr>
                <w:rFonts w:hint="eastAsia" w:eastAsia="楷体"/>
                <w:sz w:val="24"/>
                <w:szCs w:val="24"/>
              </w:rPr>
              <w:t>.2 通过液货舱甲板面以上至少2</w:t>
            </w:r>
            <w:r>
              <w:rPr>
                <w:rFonts w:eastAsia="楷体"/>
                <w:sz w:val="24"/>
                <w:szCs w:val="24"/>
              </w:rPr>
              <w:t xml:space="preserve"> </w:t>
            </w:r>
            <w:r>
              <w:rPr>
                <w:rFonts w:hint="eastAsia" w:eastAsia="楷体"/>
                <w:sz w:val="24"/>
                <w:szCs w:val="24"/>
              </w:rPr>
              <w:t>m的出口，并且在除气作业期间至少维持30 m/s的垂直出气速度；或</w:t>
            </w:r>
          </w:p>
          <w:p>
            <w:pPr>
              <w:pStyle w:val="18"/>
              <w:ind w:firstLine="480"/>
              <w:jc w:val="both"/>
              <w:rPr>
                <w:rFonts w:eastAsia="楷体"/>
                <w:sz w:val="24"/>
                <w:szCs w:val="24"/>
              </w:rPr>
            </w:pPr>
            <w:r>
              <w:rPr>
                <w:rFonts w:hint="eastAsia" w:eastAsia="楷体"/>
                <w:sz w:val="24"/>
                <w:szCs w:val="24"/>
              </w:rPr>
              <w:t>.3 通过液货舱甲板面以上至少2</w:t>
            </w:r>
            <w:r>
              <w:rPr>
                <w:rFonts w:eastAsia="楷体"/>
                <w:sz w:val="24"/>
                <w:szCs w:val="24"/>
              </w:rPr>
              <w:t xml:space="preserve"> </w:t>
            </w:r>
            <w:r>
              <w:rPr>
                <w:rFonts w:hint="eastAsia" w:eastAsia="楷体"/>
                <w:sz w:val="24"/>
                <w:szCs w:val="24"/>
              </w:rPr>
              <w:t>m的出口，并且至少有20</w:t>
            </w:r>
            <w:r>
              <w:rPr>
                <w:rFonts w:eastAsia="楷体"/>
                <w:sz w:val="24"/>
                <w:szCs w:val="24"/>
              </w:rPr>
              <w:t xml:space="preserve"> </w:t>
            </w:r>
            <w:r>
              <w:rPr>
                <w:rFonts w:hint="eastAsia" w:eastAsia="楷体"/>
                <w:sz w:val="24"/>
                <w:szCs w:val="24"/>
              </w:rPr>
              <w:t>m/s 的垂直出气速度，出口有适当的保护装置以防火焰通过。</w:t>
            </w:r>
          </w:p>
          <w:p>
            <w:pPr>
              <w:pStyle w:val="18"/>
              <w:ind w:firstLine="480"/>
              <w:jc w:val="both"/>
              <w:rPr>
                <w:rFonts w:eastAsia="楷体"/>
                <w:sz w:val="24"/>
                <w:szCs w:val="24"/>
              </w:rPr>
            </w:pPr>
            <w:r>
              <w:rPr>
                <w:rFonts w:hint="eastAsia" w:eastAsia="楷体"/>
                <w:sz w:val="24"/>
                <w:szCs w:val="24"/>
              </w:rPr>
              <w:t>16.3.2.3 以上出口距含有着火源的封闭处所的最近空气进口和开口以及甲板机械，包括锚机间和锚链舱上的开口，和可能构成失火危险的设备的水平距离应不少于10 m。</w:t>
            </w:r>
          </w:p>
          <w:p>
            <w:pPr>
              <w:pStyle w:val="18"/>
              <w:ind w:firstLine="480"/>
              <w:jc w:val="both"/>
              <w:rPr>
                <w:rFonts w:eastAsia="楷体"/>
                <w:sz w:val="24"/>
                <w:szCs w:val="24"/>
              </w:rPr>
            </w:pPr>
            <w:r>
              <w:rPr>
                <w:rFonts w:hint="eastAsia" w:eastAsia="楷体"/>
                <w:sz w:val="24"/>
                <w:szCs w:val="24"/>
              </w:rPr>
              <w:t>16.3.2.4 如果出口处的易燃蒸气浓度已减至可燃下限的30%，可在液货舱甲板面上继续除气。</w:t>
            </w:r>
          </w:p>
        </w:tc>
      </w:tr>
    </w:tbl>
    <w:p>
      <w:pPr>
        <w:pStyle w:val="18"/>
        <w:spacing w:beforeLines="50"/>
        <w:ind w:firstLine="482"/>
        <w:jc w:val="both"/>
        <w:rPr>
          <w:b/>
          <w:sz w:val="24"/>
          <w:szCs w:val="24"/>
        </w:rPr>
      </w:pPr>
      <w:bookmarkStart w:id="23" w:name="_Toc338226806"/>
      <w:r>
        <w:rPr>
          <w:rFonts w:hint="eastAsia"/>
          <w:b/>
          <w:sz w:val="24"/>
          <w:szCs w:val="24"/>
        </w:rPr>
        <w:t>2．防污</w:t>
      </w:r>
      <w:r>
        <w:rPr>
          <w:b/>
          <w:sz w:val="24"/>
          <w:szCs w:val="24"/>
        </w:rPr>
        <w:t>公约</w:t>
      </w:r>
      <w:bookmarkEnd w:id="23"/>
      <w:r>
        <w:rPr>
          <w:rFonts w:hint="eastAsia"/>
          <w:b/>
          <w:sz w:val="24"/>
          <w:szCs w:val="24"/>
        </w:rPr>
        <w:t>（M</w:t>
      </w:r>
      <w:r>
        <w:rPr>
          <w:b/>
          <w:sz w:val="24"/>
          <w:szCs w:val="24"/>
        </w:rPr>
        <w:t>ARPOL</w:t>
      </w:r>
      <w:r>
        <w:rPr>
          <w:rFonts w:hint="eastAsia"/>
          <w:b/>
          <w:sz w:val="24"/>
          <w:szCs w:val="24"/>
        </w:rPr>
        <w:t>公约）。</w:t>
      </w:r>
    </w:p>
    <w:p>
      <w:pPr>
        <w:pStyle w:val="18"/>
        <w:spacing w:beforeLines="50"/>
        <w:ind w:firstLine="480"/>
        <w:jc w:val="both"/>
        <w:rPr>
          <w:sz w:val="24"/>
          <w:szCs w:val="24"/>
        </w:rPr>
      </w:pPr>
      <w:r>
        <w:rPr>
          <w:rFonts w:hint="eastAsia"/>
          <w:sz w:val="24"/>
          <w:szCs w:val="24"/>
        </w:rPr>
        <w:t>MARPOL 公约是防止由于船舶操作性和事故性排放而造成海洋环境污染的主要国际公约，它是《1973 年国际防止船舶造成污染公约》和《关于1973年国际防止船舶造成污染公约的1978年议定书》、《经1978年议定书修订的1973年国际防止船舶造成污染公约的1997年议定书》的组合条约。MARPOL公约目前是国际社会用于防止海洋污染的主要公约。</w:t>
      </w:r>
      <w:r>
        <w:rPr>
          <w:sz w:val="24"/>
          <w:szCs w:val="24"/>
        </w:rPr>
        <w:t>MARPOL</w:t>
      </w:r>
      <w:r>
        <w:rPr>
          <w:rFonts w:hint="eastAsia"/>
          <w:sz w:val="24"/>
          <w:szCs w:val="24"/>
        </w:rPr>
        <w:t>公约有关油船洗舱的相关内容如下：</w:t>
      </w:r>
    </w:p>
    <w:tbl>
      <w:tblPr>
        <w:tblW w:w="8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8"/>
      </w:tblGrid>
      <w:tr>
        <w:tc>
          <w:tcPr>
            <w:tcW w:w="8268" w:type="dxa"/>
            <w:vAlign w:val="top"/>
          </w:tcPr>
          <w:p>
            <w:pPr>
              <w:pStyle w:val="18"/>
              <w:ind w:firstLine="480"/>
              <w:jc w:val="both"/>
              <w:rPr>
                <w:rFonts w:eastAsia="楷体"/>
                <w:sz w:val="24"/>
                <w:szCs w:val="24"/>
              </w:rPr>
            </w:pPr>
            <w:r>
              <w:rPr>
                <w:rFonts w:hint="eastAsia" w:eastAsia="楷体"/>
                <w:sz w:val="24"/>
                <w:szCs w:val="24"/>
              </w:rPr>
              <w:t>防污公约附则I—防止油类污染规则</w:t>
            </w:r>
          </w:p>
          <w:p>
            <w:pPr>
              <w:pStyle w:val="18"/>
              <w:ind w:firstLine="480"/>
              <w:jc w:val="both"/>
              <w:rPr>
                <w:rFonts w:eastAsia="楷体"/>
                <w:sz w:val="24"/>
                <w:szCs w:val="24"/>
              </w:rPr>
            </w:pPr>
            <w:r>
              <w:rPr>
                <w:rFonts w:hint="eastAsia" w:eastAsia="楷体"/>
                <w:sz w:val="24"/>
                <w:szCs w:val="24"/>
              </w:rPr>
              <w:t>第33条 对原油洗舱的要求</w:t>
            </w:r>
          </w:p>
          <w:p>
            <w:pPr>
              <w:pStyle w:val="18"/>
              <w:ind w:firstLine="480"/>
              <w:jc w:val="both"/>
              <w:rPr>
                <w:rFonts w:eastAsia="楷体"/>
                <w:sz w:val="24"/>
                <w:szCs w:val="24"/>
              </w:rPr>
            </w:pPr>
            <w:r>
              <w:rPr>
                <w:rFonts w:hint="eastAsia" w:eastAsia="楷体"/>
                <w:sz w:val="24"/>
                <w:szCs w:val="24"/>
              </w:rPr>
              <w:t>提出了原油洗舱的适用对象、原油洗舱装置及其附属设备与布置以及原油洗舱系统的相关要求。</w:t>
            </w:r>
          </w:p>
          <w:p>
            <w:pPr>
              <w:pStyle w:val="18"/>
              <w:ind w:firstLine="480"/>
              <w:jc w:val="both"/>
              <w:rPr>
                <w:rFonts w:eastAsia="楷体"/>
                <w:sz w:val="24"/>
                <w:szCs w:val="24"/>
              </w:rPr>
            </w:pPr>
            <w:r>
              <w:rPr>
                <w:rFonts w:hint="eastAsia" w:eastAsia="楷体"/>
                <w:sz w:val="24"/>
                <w:szCs w:val="24"/>
              </w:rPr>
              <w:t>第35条 原油洗舱操作</w:t>
            </w:r>
          </w:p>
          <w:p>
            <w:pPr>
              <w:pStyle w:val="18"/>
              <w:ind w:firstLine="480"/>
              <w:jc w:val="both"/>
              <w:rPr>
                <w:rFonts w:eastAsia="楷体"/>
                <w:sz w:val="24"/>
                <w:szCs w:val="24"/>
              </w:rPr>
            </w:pPr>
            <w:r>
              <w:rPr>
                <w:rFonts w:hint="eastAsia" w:eastAsia="楷体"/>
                <w:sz w:val="24"/>
                <w:szCs w:val="24"/>
              </w:rPr>
              <w:t>提出了原油洗舱的《操作与设备手册》以及对原油洗舱操作的相关要求。</w:t>
            </w:r>
          </w:p>
          <w:p>
            <w:pPr>
              <w:pStyle w:val="18"/>
              <w:ind w:firstLine="480"/>
              <w:jc w:val="both"/>
              <w:rPr>
                <w:rFonts w:eastAsia="楷体"/>
                <w:sz w:val="24"/>
                <w:szCs w:val="24"/>
              </w:rPr>
            </w:pPr>
            <w:r>
              <w:rPr>
                <w:rFonts w:hint="eastAsia" w:eastAsia="楷体"/>
                <w:sz w:val="24"/>
                <w:szCs w:val="24"/>
              </w:rPr>
              <w:t>M</w:t>
            </w:r>
            <w:r>
              <w:rPr>
                <w:rFonts w:eastAsia="楷体"/>
                <w:sz w:val="24"/>
                <w:szCs w:val="24"/>
              </w:rPr>
              <w:t>EPC081(43)</w:t>
            </w:r>
            <w:r>
              <w:rPr>
                <w:rFonts w:hint="eastAsia" w:eastAsia="楷体"/>
                <w:sz w:val="24"/>
                <w:szCs w:val="24"/>
              </w:rPr>
              <w:t>提出了原油洗舱手册标准格式第9节的修正案。</w:t>
            </w:r>
          </w:p>
          <w:p>
            <w:pPr>
              <w:pStyle w:val="18"/>
              <w:ind w:firstLine="480"/>
              <w:jc w:val="both"/>
              <w:rPr>
                <w:rFonts w:eastAsia="楷体"/>
                <w:sz w:val="24"/>
                <w:szCs w:val="24"/>
              </w:rPr>
            </w:pPr>
            <w:r>
              <w:rPr>
                <w:rFonts w:hint="eastAsia" w:eastAsia="楷体"/>
                <w:sz w:val="24"/>
                <w:szCs w:val="24"/>
              </w:rPr>
              <w:t>A.446(</w:t>
            </w:r>
            <w:r>
              <w:rPr>
                <w:rFonts w:eastAsia="楷体"/>
                <w:sz w:val="24"/>
                <w:szCs w:val="24"/>
              </w:rPr>
              <w:t>XI)</w:t>
            </w:r>
            <w:r>
              <w:rPr>
                <w:rFonts w:hint="eastAsia" w:eastAsia="楷体"/>
                <w:sz w:val="24"/>
                <w:szCs w:val="24"/>
              </w:rPr>
              <w:t>：原油洗舱系统的设计、操作和管理的修正规范</w:t>
            </w:r>
          </w:p>
          <w:p>
            <w:pPr>
              <w:pStyle w:val="18"/>
              <w:ind w:firstLine="480"/>
              <w:jc w:val="both"/>
              <w:rPr>
                <w:rFonts w:eastAsia="楷体"/>
                <w:sz w:val="24"/>
                <w:szCs w:val="24"/>
              </w:rPr>
            </w:pPr>
            <w:r>
              <w:rPr>
                <w:rFonts w:hint="eastAsia" w:eastAsia="楷体"/>
                <w:sz w:val="24"/>
                <w:szCs w:val="24"/>
              </w:rPr>
              <w:t>提出了原油洗舱系统设计标准、人员资格以及操作要求。</w:t>
            </w:r>
          </w:p>
          <w:p>
            <w:pPr>
              <w:pStyle w:val="18"/>
              <w:ind w:firstLine="480"/>
              <w:jc w:val="both"/>
              <w:rPr>
                <w:rFonts w:eastAsia="楷体"/>
                <w:sz w:val="24"/>
                <w:szCs w:val="24"/>
              </w:rPr>
            </w:pPr>
            <w:r>
              <w:rPr>
                <w:rFonts w:hint="eastAsia" w:eastAsia="楷体"/>
                <w:sz w:val="24"/>
                <w:szCs w:val="24"/>
              </w:rPr>
              <w:t>第5条 人员资格</w:t>
            </w:r>
          </w:p>
          <w:p>
            <w:pPr>
              <w:pStyle w:val="18"/>
              <w:ind w:firstLine="480"/>
              <w:jc w:val="both"/>
              <w:rPr>
                <w:rFonts w:eastAsia="楷体"/>
                <w:sz w:val="24"/>
                <w:szCs w:val="24"/>
              </w:rPr>
            </w:pPr>
            <w:r>
              <w:rPr>
                <w:rFonts w:hint="eastAsia" w:eastAsia="楷体"/>
                <w:sz w:val="24"/>
                <w:szCs w:val="24"/>
              </w:rPr>
              <w:t>提出了原油洗舱负责人的资历要求以及从事原油洗舱的船上人员的培训要求。</w:t>
            </w:r>
          </w:p>
          <w:p>
            <w:pPr>
              <w:pStyle w:val="18"/>
              <w:ind w:firstLine="480"/>
              <w:jc w:val="both"/>
              <w:rPr>
                <w:rFonts w:eastAsia="楷体"/>
                <w:sz w:val="24"/>
                <w:szCs w:val="24"/>
              </w:rPr>
            </w:pPr>
            <w:r>
              <w:rPr>
                <w:rFonts w:hint="eastAsia" w:eastAsia="楷体"/>
                <w:sz w:val="24"/>
                <w:szCs w:val="24"/>
              </w:rPr>
              <w:t>第6条 操作</w:t>
            </w:r>
          </w:p>
          <w:p>
            <w:pPr>
              <w:pStyle w:val="18"/>
              <w:ind w:firstLine="480"/>
              <w:jc w:val="both"/>
              <w:rPr>
                <w:rFonts w:eastAsia="楷体"/>
                <w:sz w:val="24"/>
                <w:szCs w:val="24"/>
              </w:rPr>
            </w:pPr>
            <w:r>
              <w:rPr>
                <w:rFonts w:hint="eastAsia" w:eastAsia="楷体"/>
                <w:sz w:val="24"/>
                <w:szCs w:val="24"/>
              </w:rPr>
              <w:t>提出了原油清洗的舱柜、货油管道的排泄及向岸上排放、出港压载舱的注水、海上原油洗舱、压载航行时的油污水排放、惰性气体的使用和管理、防静电注意事项、油气散发控制的相关要求。</w:t>
            </w:r>
          </w:p>
          <w:p>
            <w:pPr>
              <w:pStyle w:val="18"/>
              <w:ind w:firstLine="480"/>
              <w:jc w:val="both"/>
              <w:rPr>
                <w:rFonts w:eastAsia="楷体"/>
                <w:sz w:val="24"/>
                <w:szCs w:val="24"/>
              </w:rPr>
            </w:pPr>
            <w:r>
              <w:rPr>
                <w:rFonts w:hint="eastAsia" w:eastAsia="楷体"/>
                <w:sz w:val="24"/>
                <w:szCs w:val="24"/>
              </w:rPr>
              <w:t>第7条 操作和设备手册</w:t>
            </w:r>
          </w:p>
          <w:p>
            <w:pPr>
              <w:pStyle w:val="18"/>
              <w:ind w:firstLine="480"/>
              <w:jc w:val="both"/>
              <w:rPr>
                <w:rFonts w:eastAsia="楷体"/>
                <w:sz w:val="24"/>
                <w:szCs w:val="24"/>
              </w:rPr>
            </w:pPr>
            <w:r>
              <w:rPr>
                <w:rFonts w:hint="eastAsia" w:eastAsia="楷体"/>
                <w:sz w:val="24"/>
                <w:szCs w:val="24"/>
              </w:rPr>
              <w:t>在附录II提出了对原油洗舱总负责人员的培训要求。</w:t>
            </w:r>
          </w:p>
          <w:p>
            <w:pPr>
              <w:pStyle w:val="18"/>
              <w:ind w:firstLine="480"/>
              <w:jc w:val="both"/>
              <w:rPr>
                <w:rFonts w:eastAsia="楷体"/>
                <w:sz w:val="24"/>
                <w:szCs w:val="24"/>
              </w:rPr>
            </w:pPr>
            <w:r>
              <w:rPr>
                <w:rFonts w:hint="eastAsia" w:eastAsia="楷体"/>
                <w:sz w:val="24"/>
                <w:szCs w:val="24"/>
              </w:rPr>
              <w:t>A.497(</w:t>
            </w:r>
            <w:r>
              <w:rPr>
                <w:rFonts w:eastAsia="楷体"/>
                <w:sz w:val="24"/>
                <w:szCs w:val="24"/>
              </w:rPr>
              <w:t>XII)</w:t>
            </w:r>
            <w:r>
              <w:rPr>
                <w:rFonts w:hint="eastAsia" w:eastAsia="楷体"/>
                <w:sz w:val="24"/>
                <w:szCs w:val="24"/>
              </w:rPr>
              <w:t>：关于对经修订的原油洗舱系统的设计、操作控制规范的修正</w:t>
            </w:r>
          </w:p>
          <w:p>
            <w:pPr>
              <w:pStyle w:val="18"/>
              <w:ind w:firstLine="480"/>
              <w:jc w:val="both"/>
              <w:rPr>
                <w:rFonts w:eastAsia="楷体"/>
                <w:sz w:val="24"/>
                <w:szCs w:val="24"/>
              </w:rPr>
            </w:pPr>
            <w:r>
              <w:rPr>
                <w:rFonts w:hint="eastAsia" w:eastAsia="楷体"/>
                <w:sz w:val="24"/>
                <w:szCs w:val="24"/>
              </w:rPr>
              <w:t>其中提出了具体对洗舱操作负责人员的相关修正要求。相关内容如下：</w:t>
            </w:r>
          </w:p>
          <w:p>
            <w:pPr>
              <w:pStyle w:val="18"/>
              <w:ind w:firstLine="480"/>
              <w:jc w:val="both"/>
              <w:rPr>
                <w:rFonts w:eastAsia="楷体"/>
                <w:sz w:val="24"/>
                <w:szCs w:val="24"/>
              </w:rPr>
            </w:pPr>
            <w:r>
              <w:rPr>
                <w:rFonts w:hint="eastAsia" w:eastAsia="楷体"/>
                <w:sz w:val="24"/>
                <w:szCs w:val="24"/>
              </w:rPr>
              <w:t>要求全面负责原油洗舱操作的驾驶员，必须在其负责卸货的船上或类似的船上参加过原油洗舱操作。但对新船，第一次改装原油的船、对该船东来说是新船，或改变了船籍而不能得到具体经验的船舶，主管机关可作为一个备选方案接受：</w:t>
            </w:r>
          </w:p>
          <w:p>
            <w:pPr>
              <w:pStyle w:val="18"/>
              <w:ind w:firstLine="480"/>
              <w:jc w:val="both"/>
              <w:rPr>
                <w:rFonts w:eastAsia="楷体"/>
                <w:sz w:val="24"/>
                <w:szCs w:val="24"/>
              </w:rPr>
            </w:pPr>
            <w:r>
              <w:rPr>
                <w:rFonts w:hint="eastAsia" w:eastAsia="楷体"/>
                <w:sz w:val="24"/>
                <w:szCs w:val="24"/>
              </w:rPr>
              <w:t>(</w:t>
            </w:r>
            <w:r>
              <w:rPr>
                <w:rFonts w:eastAsia="楷体"/>
                <w:sz w:val="24"/>
                <w:szCs w:val="24"/>
              </w:rPr>
              <w:t>1)</w:t>
            </w:r>
            <w:r>
              <w:rPr>
                <w:rFonts w:hint="eastAsia" w:eastAsia="楷体"/>
                <w:sz w:val="24"/>
                <w:szCs w:val="24"/>
              </w:rPr>
              <w:t>由该公司指派一位具有原油洗舱经验的基本上是在岸上工作的高级官员(不在船舶定员之内</w:t>
            </w:r>
            <w:r>
              <w:rPr>
                <w:rFonts w:eastAsia="楷体"/>
                <w:sz w:val="24"/>
                <w:szCs w:val="24"/>
              </w:rPr>
              <w:t>)</w:t>
            </w:r>
            <w:r>
              <w:rPr>
                <w:rFonts w:hint="eastAsia" w:eastAsia="楷体"/>
                <w:sz w:val="24"/>
                <w:szCs w:val="24"/>
              </w:rPr>
              <w:t>到现场指导船上人员；或</w:t>
            </w:r>
          </w:p>
          <w:p>
            <w:pPr>
              <w:pStyle w:val="18"/>
              <w:ind w:firstLine="480"/>
              <w:jc w:val="both"/>
              <w:rPr>
                <w:rFonts w:eastAsia="楷体"/>
                <w:sz w:val="24"/>
                <w:szCs w:val="24"/>
              </w:rPr>
            </w:pPr>
            <w:r>
              <w:rPr>
                <w:rFonts w:eastAsia="楷体"/>
                <w:sz w:val="24"/>
                <w:szCs w:val="24"/>
              </w:rPr>
              <w:t>(2)</w:t>
            </w:r>
            <w:r>
              <w:rPr>
                <w:rFonts w:hint="eastAsia" w:eastAsia="楷体"/>
                <w:sz w:val="24"/>
                <w:szCs w:val="24"/>
              </w:rPr>
              <w:t>有至少参加过4次原油洗舱活动的高级船员(如船长、大副或主管货物的驾驶员</w:t>
            </w:r>
            <w:r>
              <w:rPr>
                <w:rFonts w:eastAsia="楷体"/>
                <w:sz w:val="24"/>
                <w:szCs w:val="24"/>
              </w:rPr>
              <w:t>)</w:t>
            </w:r>
            <w:r>
              <w:rPr>
                <w:rFonts w:hint="eastAsia" w:eastAsia="楷体"/>
                <w:sz w:val="24"/>
                <w:szCs w:val="24"/>
              </w:rPr>
              <w:t>在船上。</w:t>
            </w:r>
          </w:p>
          <w:p>
            <w:pPr>
              <w:pStyle w:val="18"/>
              <w:ind w:firstLine="480"/>
              <w:jc w:val="both"/>
              <w:rPr>
                <w:rFonts w:eastAsia="楷体"/>
                <w:sz w:val="24"/>
                <w:szCs w:val="24"/>
              </w:rPr>
            </w:pPr>
            <w:r>
              <w:rPr>
                <w:rFonts w:hint="eastAsia" w:eastAsia="楷体"/>
                <w:sz w:val="24"/>
                <w:szCs w:val="24"/>
              </w:rPr>
              <w:t>但船上应具备用船舶驾驶员所能理解的文字写成的操作和设备手册。</w:t>
            </w:r>
          </w:p>
          <w:p>
            <w:pPr>
              <w:pStyle w:val="18"/>
              <w:ind w:firstLine="480"/>
              <w:jc w:val="both"/>
              <w:rPr>
                <w:rFonts w:eastAsia="楷体"/>
                <w:sz w:val="24"/>
                <w:szCs w:val="24"/>
              </w:rPr>
            </w:pPr>
            <w:r>
              <w:rPr>
                <w:rFonts w:hint="eastAsia" w:eastAsia="楷体"/>
                <w:sz w:val="24"/>
                <w:szCs w:val="24"/>
              </w:rPr>
              <w:t>A.897</w:t>
            </w:r>
            <w:r>
              <w:rPr>
                <w:rFonts w:eastAsia="楷体"/>
                <w:sz w:val="24"/>
                <w:szCs w:val="24"/>
              </w:rPr>
              <w:t>(21)</w:t>
            </w:r>
            <w:r>
              <w:rPr>
                <w:rFonts w:hint="eastAsia" w:eastAsia="楷体"/>
                <w:sz w:val="24"/>
                <w:szCs w:val="24"/>
              </w:rPr>
              <w:t>：修订后的原油洗舱系统设计、操作和控制技术条件（被A.497(XII)决议修正的A.446(XI)决议）的修正案</w:t>
            </w:r>
          </w:p>
          <w:p>
            <w:pPr>
              <w:pStyle w:val="18"/>
              <w:ind w:firstLine="480"/>
              <w:jc w:val="both"/>
              <w:rPr>
                <w:rFonts w:eastAsia="楷体"/>
                <w:sz w:val="24"/>
                <w:szCs w:val="24"/>
              </w:rPr>
            </w:pPr>
            <w:r>
              <w:rPr>
                <w:rFonts w:hint="eastAsia" w:eastAsia="楷体"/>
                <w:sz w:val="24"/>
                <w:szCs w:val="24"/>
              </w:rPr>
              <w:t>对确认原油洗舱系统和扫舱系统的效果提出了相关修正要求。为确认原油洗舱系统和扫舱系统的效果，原油洗舱操作应由主管机关见证并使其满意。</w:t>
            </w:r>
          </w:p>
        </w:tc>
      </w:tr>
    </w:tbl>
    <w:p>
      <w:pPr>
        <w:pStyle w:val="18"/>
        <w:spacing w:beforeLines="50"/>
        <w:ind w:firstLine="482"/>
        <w:jc w:val="both"/>
        <w:rPr>
          <w:b/>
          <w:sz w:val="24"/>
          <w:szCs w:val="24"/>
        </w:rPr>
      </w:pPr>
      <w:r>
        <w:rPr>
          <w:rFonts w:hint="eastAsia"/>
          <w:b/>
          <w:sz w:val="24"/>
          <w:szCs w:val="24"/>
        </w:rPr>
        <w:t>3．国际消防安全系统规则（F</w:t>
      </w:r>
      <w:r>
        <w:rPr>
          <w:b/>
          <w:sz w:val="24"/>
          <w:szCs w:val="24"/>
        </w:rPr>
        <w:t>SS</w:t>
      </w:r>
      <w:r>
        <w:rPr>
          <w:rFonts w:hint="eastAsia"/>
          <w:b/>
          <w:sz w:val="24"/>
          <w:szCs w:val="24"/>
        </w:rPr>
        <w:t>规则）。</w:t>
      </w:r>
    </w:p>
    <w:p>
      <w:pPr>
        <w:pStyle w:val="18"/>
        <w:spacing w:beforeLines="50"/>
        <w:ind w:firstLine="480"/>
        <w:jc w:val="both"/>
        <w:rPr>
          <w:sz w:val="24"/>
          <w:szCs w:val="24"/>
        </w:rPr>
      </w:pPr>
      <w:r>
        <w:rPr>
          <w:rFonts w:hint="eastAsia"/>
          <w:sz w:val="24"/>
          <w:szCs w:val="24"/>
        </w:rPr>
        <w:t>国际消防安全系统规则旨在为S</w:t>
      </w:r>
      <w:r>
        <w:rPr>
          <w:sz w:val="24"/>
          <w:szCs w:val="24"/>
        </w:rPr>
        <w:t>OLAS</w:t>
      </w:r>
      <w:r>
        <w:rPr>
          <w:rFonts w:hint="eastAsia"/>
          <w:sz w:val="24"/>
          <w:szCs w:val="24"/>
        </w:rPr>
        <w:t>公约第Ⅱ-2章所要求的消防安全系统提供特定工程技术规定的国际标准。根据S</w:t>
      </w:r>
      <w:r>
        <w:rPr>
          <w:sz w:val="24"/>
          <w:szCs w:val="24"/>
        </w:rPr>
        <w:t>OLAS</w:t>
      </w:r>
      <w:r>
        <w:rPr>
          <w:rFonts w:hint="eastAsia"/>
          <w:sz w:val="24"/>
          <w:szCs w:val="24"/>
        </w:rPr>
        <w:t>公约要求的本消防安全系统规则将作为强制性要求。F</w:t>
      </w:r>
      <w:r>
        <w:rPr>
          <w:sz w:val="24"/>
          <w:szCs w:val="24"/>
        </w:rPr>
        <w:t>SS</w:t>
      </w:r>
      <w:r>
        <w:rPr>
          <w:rFonts w:hint="eastAsia"/>
          <w:sz w:val="24"/>
          <w:szCs w:val="24"/>
        </w:rPr>
        <w:t>规则原共包含15章，后经MSC292</w:t>
      </w:r>
      <w:r>
        <w:rPr>
          <w:sz w:val="24"/>
          <w:szCs w:val="24"/>
        </w:rPr>
        <w:t>(</w:t>
      </w:r>
      <w:r>
        <w:rPr>
          <w:rFonts w:hint="eastAsia"/>
          <w:sz w:val="24"/>
          <w:szCs w:val="24"/>
        </w:rPr>
        <w:t>87</w:t>
      </w:r>
      <w:r>
        <w:rPr>
          <w:sz w:val="24"/>
          <w:szCs w:val="24"/>
        </w:rPr>
        <w:t>)</w:t>
      </w:r>
      <w:r>
        <w:rPr>
          <w:rFonts w:hint="eastAsia"/>
          <w:sz w:val="24"/>
          <w:szCs w:val="24"/>
        </w:rPr>
        <w:t>决议新增第16章。其中第15章提出了对惰性气体系统的要求，第16章提出了对固定式碳氢化合物气体探测系统的要求。相关内容如下：</w:t>
      </w:r>
    </w:p>
    <w:tbl>
      <w:tblPr>
        <w:tblW w:w="8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8"/>
      </w:tblGrid>
      <w:tr>
        <w:tc>
          <w:tcPr>
            <w:tcW w:w="8268" w:type="dxa"/>
            <w:vAlign w:val="top"/>
          </w:tcPr>
          <w:p>
            <w:pPr>
              <w:pStyle w:val="18"/>
              <w:ind w:firstLine="480"/>
              <w:jc w:val="both"/>
              <w:rPr>
                <w:rFonts w:eastAsia="楷体"/>
                <w:sz w:val="24"/>
                <w:szCs w:val="24"/>
              </w:rPr>
            </w:pPr>
            <w:r>
              <w:rPr>
                <w:rFonts w:hint="eastAsia" w:eastAsia="楷体"/>
                <w:sz w:val="24"/>
                <w:szCs w:val="24"/>
              </w:rPr>
              <w:t>第15章 惰性气体系统</w:t>
            </w:r>
          </w:p>
          <w:p>
            <w:pPr>
              <w:pStyle w:val="18"/>
              <w:ind w:firstLine="480"/>
              <w:jc w:val="both"/>
              <w:rPr>
                <w:rFonts w:eastAsia="楷体"/>
                <w:sz w:val="24"/>
                <w:szCs w:val="24"/>
              </w:rPr>
            </w:pPr>
            <w:r>
              <w:rPr>
                <w:rFonts w:hint="eastAsia" w:eastAsia="楷体"/>
                <w:sz w:val="24"/>
                <w:szCs w:val="24"/>
              </w:rPr>
              <w:t>本章详细规定了</w:t>
            </w:r>
            <w:r>
              <w:rPr>
                <w:rFonts w:eastAsia="楷体"/>
                <w:sz w:val="24"/>
                <w:szCs w:val="24"/>
              </w:rPr>
              <w:t>SOLAS</w:t>
            </w:r>
            <w:r>
              <w:rPr>
                <w:rFonts w:hint="eastAsia" w:eastAsia="楷体"/>
                <w:sz w:val="24"/>
                <w:szCs w:val="24"/>
              </w:rPr>
              <w:t>公约第Ⅱ-2章所要求的惰性气体系统的技术要求，包括功能要求、惰性气体成份要求、惰性气体系统的安装要求以及运行和控制要求等。</w:t>
            </w:r>
          </w:p>
          <w:p>
            <w:pPr>
              <w:pStyle w:val="18"/>
              <w:ind w:firstLine="480"/>
              <w:jc w:val="both"/>
              <w:rPr>
                <w:rFonts w:eastAsia="楷体"/>
                <w:sz w:val="24"/>
                <w:szCs w:val="24"/>
              </w:rPr>
            </w:pPr>
            <w:r>
              <w:rPr>
                <w:rFonts w:hint="eastAsia" w:eastAsia="楷体"/>
                <w:sz w:val="24"/>
                <w:szCs w:val="24"/>
              </w:rPr>
              <w:t>第16章 固定式碳氢化合物气体探测系统</w:t>
            </w:r>
          </w:p>
          <w:p>
            <w:pPr>
              <w:pStyle w:val="18"/>
              <w:ind w:firstLine="480"/>
              <w:jc w:val="both"/>
              <w:rPr>
                <w:rFonts w:eastAsia="楷体"/>
                <w:sz w:val="24"/>
                <w:szCs w:val="24"/>
              </w:rPr>
            </w:pPr>
            <w:r>
              <w:rPr>
                <w:rFonts w:hint="eastAsia" w:eastAsia="楷体"/>
                <w:sz w:val="24"/>
                <w:szCs w:val="24"/>
              </w:rPr>
              <w:t>本章详细规定了S</w:t>
            </w:r>
            <w:r>
              <w:rPr>
                <w:rFonts w:eastAsia="楷体"/>
                <w:sz w:val="24"/>
                <w:szCs w:val="24"/>
              </w:rPr>
              <w:t>OLAS</w:t>
            </w:r>
            <w:r>
              <w:rPr>
                <w:rFonts w:hint="eastAsia" w:eastAsia="楷体"/>
                <w:sz w:val="24"/>
                <w:szCs w:val="24"/>
              </w:rPr>
              <w:t>公约第II-2章所要求的固定式碳氢化合物气体探测系统的技术要求。包括适用范围、一般要求和部件要求等。其中第2.2.1.3：取样系统应至少设有2处碳氢化合物气体取样点，分别位于需取样处的下部和上部。需要时，上部的气体取样点位置不应低于液舱顶部1 m。下部的气体取样点位置应高于船底外板的桁材高度，但应距液舱底部至少0.5 m，且应设有在堵塞时予以关闭的装置。在定位固定取样点时，应充分考虑拟运输的成品油的油气密度以及处所驱气或通风引起的稀释。</w:t>
            </w:r>
          </w:p>
        </w:tc>
      </w:tr>
    </w:tbl>
    <w:p>
      <w:pPr>
        <w:pStyle w:val="3"/>
      </w:pPr>
      <w:bookmarkStart w:id="24" w:name="_Toc338226808"/>
      <w:bookmarkStart w:id="25" w:name="_Toc516735504"/>
      <w:bookmarkStart w:id="26" w:name="_Toc13222580"/>
      <w:bookmarkStart w:id="27" w:name="_Toc15751154"/>
      <w:r>
        <w:rPr>
          <w:rFonts w:hint="eastAsia"/>
        </w:rPr>
        <w:t>（二）国外同类标准要求</w:t>
      </w:r>
      <w:bookmarkEnd w:id="24"/>
      <w:bookmarkEnd w:id="25"/>
      <w:bookmarkEnd w:id="26"/>
      <w:bookmarkEnd w:id="27"/>
      <w:r>
        <w:rPr>
          <w:rFonts w:hint="eastAsia"/>
        </w:rPr>
        <w:t>。</w:t>
      </w:r>
    </w:p>
    <w:p>
      <w:pPr>
        <w:pStyle w:val="18"/>
        <w:spacing w:beforeLines="50"/>
        <w:ind w:firstLine="480"/>
        <w:jc w:val="both"/>
        <w:rPr>
          <w:sz w:val="24"/>
          <w:szCs w:val="24"/>
        </w:rPr>
      </w:pPr>
      <w:r>
        <w:rPr>
          <w:rFonts w:hint="eastAsia"/>
          <w:sz w:val="24"/>
          <w:szCs w:val="24"/>
        </w:rPr>
        <w:t>目前欧美国家在油船洗舱作业安全要求方面，一是遵循I</w:t>
      </w:r>
      <w:r>
        <w:rPr>
          <w:sz w:val="24"/>
          <w:szCs w:val="24"/>
        </w:rPr>
        <w:t>MO</w:t>
      </w:r>
      <w:r>
        <w:rPr>
          <w:rFonts w:hint="eastAsia"/>
          <w:sz w:val="24"/>
          <w:szCs w:val="24"/>
        </w:rPr>
        <w:t>发布的《国际海上人命安全公约》（SOLAS）、《国际防止船舶造成污染公约》（MARPOL）和《国际消防安全系统规则》（FSS）等相关公约、规则要求，在具体行业标准方面，主要遵循的是IMO出版的《原油洗舱系统》（2000版）以及国际航运协会（ICS）、石油公司国际海事论坛（OCIMF）与国际港口与码头联合会（IAPH）出版的《国际油轮与油码头安全指南》（第5版，ISGOTT）</w:t>
      </w:r>
      <w:r>
        <w:rPr>
          <w:sz w:val="24"/>
          <w:szCs w:val="24"/>
        </w:rPr>
        <w:t>。</w:t>
      </w:r>
    </w:p>
    <w:p>
      <w:pPr>
        <w:pStyle w:val="18"/>
        <w:spacing w:beforeLines="50"/>
        <w:ind w:firstLine="480"/>
        <w:jc w:val="both"/>
        <w:rPr>
          <w:sz w:val="24"/>
          <w:szCs w:val="24"/>
        </w:rPr>
      </w:pPr>
      <w:r>
        <w:rPr>
          <w:rFonts w:hint="eastAsia"/>
          <w:sz w:val="24"/>
          <w:szCs w:val="24"/>
        </w:rPr>
        <w:t>《国际油轮与油码头安全指南》（第5版，ISGOTT）是国际上已被油船和石油终端站广泛认可的相关安全操作的权威性著作。该指南共分四部分，“一般资料”、“油船资料”、“终端站资料”以及“油船与石油终端站界面的管理”，具体包含26章。指南为油船和石油终端站的工作人员提供了油船和石油终端站在石油及石油产品安全运输和装卸操作方面的建议，但不提出关于油船设计或建造方面的建议。</w:t>
      </w:r>
    </w:p>
    <w:p>
      <w:pPr>
        <w:pStyle w:val="3"/>
      </w:pPr>
      <w:bookmarkStart w:id="28" w:name="_Toc15751155"/>
      <w:bookmarkStart w:id="29" w:name="_Toc13222581"/>
      <w:bookmarkStart w:id="30" w:name="_Toc516735505"/>
      <w:r>
        <w:rPr>
          <w:rFonts w:hint="eastAsia"/>
        </w:rPr>
        <w:t>（三）本标准与相关国际公约、国外同类标准的对比</w:t>
      </w:r>
      <w:bookmarkEnd w:id="28"/>
      <w:bookmarkEnd w:id="29"/>
      <w:bookmarkEnd w:id="30"/>
      <w:r>
        <w:rPr>
          <w:rFonts w:hint="eastAsia"/>
        </w:rPr>
        <w:t>。</w:t>
      </w:r>
    </w:p>
    <w:p>
      <w:pPr>
        <w:pStyle w:val="18"/>
        <w:spacing w:beforeLines="50"/>
        <w:ind w:firstLine="482"/>
        <w:jc w:val="both"/>
        <w:rPr>
          <w:b/>
          <w:sz w:val="24"/>
          <w:szCs w:val="24"/>
        </w:rPr>
      </w:pPr>
      <w:r>
        <w:rPr>
          <w:rFonts w:hint="eastAsia"/>
          <w:b/>
          <w:sz w:val="24"/>
          <w:szCs w:val="24"/>
        </w:rPr>
        <w:t>1．与相关国际公约、规则的对比。</w:t>
      </w:r>
    </w:p>
    <w:p>
      <w:pPr>
        <w:pStyle w:val="18"/>
        <w:spacing w:beforeLines="50"/>
        <w:ind w:firstLine="480"/>
        <w:jc w:val="both"/>
        <w:rPr>
          <w:sz w:val="24"/>
          <w:szCs w:val="24"/>
        </w:rPr>
      </w:pPr>
      <w:r>
        <w:rPr>
          <w:rFonts w:hint="eastAsia"/>
          <w:sz w:val="24"/>
          <w:szCs w:val="24"/>
        </w:rPr>
        <w:t>油船洗舱作业安全技术要求，主要涉及船舶构造与设备、操作人员、操作程序、作业条件等方面的技术要求。针对我国的国际航行船舶，在船舶构造与设备方面是满足相关国际公约、规则要求的，但国内航行船舶，在此方面尚存一定差距，主要体现在如船舶透气出口的要求等。除此之外，在人员培训要求、操作程序要求、作业条件要求等方面，本标准的编制与相关国际公约、规则的要求保持了一致。关于设备方面，本标准提出了“4.2.1</w:t>
      </w:r>
      <w:r>
        <w:rPr>
          <w:sz w:val="24"/>
          <w:szCs w:val="24"/>
        </w:rPr>
        <w:t xml:space="preserve"> </w:t>
      </w:r>
      <w:r>
        <w:rPr>
          <w:rFonts w:hint="eastAsia"/>
          <w:sz w:val="24"/>
          <w:szCs w:val="24"/>
        </w:rPr>
        <w:t>从事洗舱作业的设备应具有有效检验证书”。</w:t>
      </w:r>
    </w:p>
    <w:p>
      <w:pPr>
        <w:pStyle w:val="18"/>
        <w:spacing w:beforeLines="50"/>
        <w:ind w:firstLine="482"/>
        <w:jc w:val="both"/>
        <w:rPr>
          <w:b/>
          <w:sz w:val="24"/>
          <w:szCs w:val="24"/>
        </w:rPr>
      </w:pPr>
      <w:r>
        <w:rPr>
          <w:rFonts w:hint="eastAsia"/>
          <w:b/>
          <w:sz w:val="24"/>
          <w:szCs w:val="24"/>
        </w:rPr>
        <w:t>2．与国外同类标准的对比。</w:t>
      </w:r>
    </w:p>
    <w:p>
      <w:pPr>
        <w:pStyle w:val="18"/>
        <w:spacing w:beforeLines="50"/>
        <w:ind w:firstLine="480"/>
        <w:jc w:val="both"/>
        <w:rPr>
          <w:sz w:val="24"/>
          <w:szCs w:val="24"/>
        </w:rPr>
      </w:pPr>
      <w:r>
        <w:rPr>
          <w:rFonts w:hint="eastAsia"/>
          <w:sz w:val="24"/>
          <w:szCs w:val="24"/>
        </w:rPr>
        <w:t>《国际油轮与油码头安全指南》（第5版，ISGOTT）在其中第二部分“第11章 船上作业”中的“11.3</w:t>
      </w:r>
      <w:r>
        <w:rPr>
          <w:sz w:val="24"/>
          <w:szCs w:val="24"/>
        </w:rPr>
        <w:t xml:space="preserve"> </w:t>
      </w:r>
      <w:r>
        <w:rPr>
          <w:rFonts w:hint="eastAsia"/>
          <w:sz w:val="24"/>
          <w:szCs w:val="24"/>
        </w:rPr>
        <w:t>清舱”、“11.4</w:t>
      </w:r>
      <w:r>
        <w:rPr>
          <w:sz w:val="24"/>
          <w:szCs w:val="24"/>
        </w:rPr>
        <w:t xml:space="preserve"> </w:t>
      </w:r>
      <w:r>
        <w:rPr>
          <w:rFonts w:hint="eastAsia"/>
          <w:sz w:val="24"/>
          <w:szCs w:val="24"/>
        </w:rPr>
        <w:t>除气”、“11.5</w:t>
      </w:r>
      <w:r>
        <w:rPr>
          <w:sz w:val="24"/>
          <w:szCs w:val="24"/>
        </w:rPr>
        <w:t xml:space="preserve"> </w:t>
      </w:r>
      <w:r>
        <w:rPr>
          <w:rFonts w:hint="eastAsia"/>
          <w:sz w:val="24"/>
          <w:szCs w:val="24"/>
        </w:rPr>
        <w:t>原油洗舱”详细提出了相关油船洗舱作业在操作程序方面的相关技术要求建议；在“第13章</w:t>
      </w:r>
      <w:r>
        <w:rPr>
          <w:sz w:val="24"/>
          <w:szCs w:val="24"/>
        </w:rPr>
        <w:t xml:space="preserve"> </w:t>
      </w:r>
      <w:r>
        <w:rPr>
          <w:rFonts w:hint="eastAsia"/>
          <w:sz w:val="24"/>
          <w:szCs w:val="24"/>
        </w:rPr>
        <w:t>人员因素考虑”中提出了对作业人员的相关要求建议；在“第17章 终端站系统和器具”中提出了照明、船/岸电气绝缘等方面的要求建议；在“第20章 应急准备”提出了应急反应计划等方面的要求建议；在“第26章 安全管理”中提出了天气条件、人员安全、应急行动等方面的要求建议，等等。</w:t>
      </w:r>
    </w:p>
    <w:p>
      <w:pPr>
        <w:pStyle w:val="18"/>
        <w:spacing w:beforeLines="50"/>
        <w:ind w:firstLine="480"/>
        <w:jc w:val="both"/>
        <w:rPr>
          <w:sz w:val="24"/>
          <w:szCs w:val="24"/>
        </w:rPr>
      </w:pPr>
      <w:r>
        <w:rPr>
          <w:rFonts w:hint="eastAsia"/>
          <w:sz w:val="24"/>
          <w:szCs w:val="24"/>
        </w:rPr>
        <w:t>本标准在编制过程中，在相关方面总体满足《国际油轮与油码头安全指南》（第5版，ISGOTT）的建议技术指标要求，部分指标（如洗舱作业过程中的舱内烃气含量不得超过L</w:t>
      </w:r>
      <w:r>
        <w:rPr>
          <w:sz w:val="24"/>
          <w:szCs w:val="24"/>
        </w:rPr>
        <w:t>FL</w:t>
      </w:r>
      <w:r>
        <w:rPr>
          <w:rFonts w:hint="eastAsia"/>
          <w:sz w:val="24"/>
          <w:szCs w:val="24"/>
        </w:rPr>
        <w:t>的30%）超过其相关要求，同时力求言简意赅。</w:t>
      </w:r>
    </w:p>
    <w:p>
      <w:pPr>
        <w:pStyle w:val="18"/>
        <w:spacing w:beforeLines="50"/>
        <w:ind w:firstLine="480"/>
        <w:jc w:val="both"/>
        <w:rPr>
          <w:sz w:val="24"/>
          <w:szCs w:val="24"/>
        </w:rPr>
      </w:pPr>
    </w:p>
    <w:p>
      <w:pPr>
        <w:pStyle w:val="2"/>
        <w:numPr>
          <w:ilvl w:val="0"/>
          <w:numId w:val="0"/>
        </w:numPr>
        <w:ind w:firstLine="482" w:firstLineChars="200"/>
      </w:pPr>
      <w:bookmarkStart w:id="31" w:name="_Toc15751156"/>
      <w:r>
        <w:rPr>
          <w:rFonts w:hint="eastAsia"/>
        </w:rPr>
        <w:t>四、与我国有关现行法律、法规和其他强制性标准的关系</w:t>
      </w:r>
      <w:bookmarkEnd w:id="31"/>
    </w:p>
    <w:p>
      <w:pPr>
        <w:pStyle w:val="3"/>
      </w:pPr>
      <w:bookmarkStart w:id="32" w:name="_Toc15751157"/>
      <w:bookmarkStart w:id="33" w:name="_Toc13222583"/>
      <w:bookmarkStart w:id="34" w:name="_Toc516735507"/>
      <w:r>
        <w:rPr>
          <w:rFonts w:hint="eastAsia"/>
        </w:rPr>
        <w:t>（一）相关法规要求</w:t>
      </w:r>
      <w:bookmarkEnd w:id="32"/>
      <w:bookmarkEnd w:id="33"/>
      <w:bookmarkEnd w:id="34"/>
      <w:r>
        <w:rPr>
          <w:rFonts w:hint="eastAsia"/>
        </w:rPr>
        <w:t>。</w:t>
      </w:r>
    </w:p>
    <w:p>
      <w:pPr>
        <w:pStyle w:val="18"/>
        <w:spacing w:beforeLines="50"/>
        <w:ind w:firstLine="482"/>
        <w:jc w:val="both"/>
        <w:rPr>
          <w:b/>
          <w:sz w:val="24"/>
          <w:szCs w:val="24"/>
        </w:rPr>
      </w:pPr>
      <w:bookmarkStart w:id="35" w:name="_Toc338226813"/>
      <w:r>
        <w:rPr>
          <w:rFonts w:hint="eastAsia"/>
          <w:b/>
          <w:sz w:val="24"/>
          <w:szCs w:val="24"/>
        </w:rPr>
        <w:t>1．《中华人民共和国水污染防治法》。</w:t>
      </w:r>
    </w:p>
    <w:p>
      <w:pPr>
        <w:pStyle w:val="18"/>
        <w:spacing w:beforeLines="50"/>
        <w:ind w:firstLine="480"/>
        <w:jc w:val="both"/>
        <w:rPr>
          <w:sz w:val="24"/>
          <w:szCs w:val="24"/>
        </w:rPr>
      </w:pPr>
      <w:r>
        <w:rPr>
          <w:rFonts w:hint="eastAsia"/>
          <w:sz w:val="24"/>
          <w:szCs w:val="24"/>
        </w:rPr>
        <w:t>新修订的《中华人民共和国水污染防治法》自2018年1月1日起实施。《中华人民共和国水污染防治法》第六十一条要求：从事装载油类、污染危害性货物船舱清洗作业的单位，应当具备与其运营规模相适应的接收处理能力。</w:t>
      </w:r>
    </w:p>
    <w:p>
      <w:pPr>
        <w:pStyle w:val="18"/>
        <w:spacing w:beforeLines="50"/>
        <w:ind w:firstLine="482"/>
        <w:jc w:val="both"/>
        <w:rPr>
          <w:b/>
          <w:sz w:val="24"/>
          <w:szCs w:val="24"/>
        </w:rPr>
      </w:pPr>
      <w:r>
        <w:rPr>
          <w:rFonts w:hint="eastAsia"/>
          <w:b/>
          <w:sz w:val="24"/>
          <w:szCs w:val="24"/>
        </w:rPr>
        <w:t>2．《</w:t>
      </w:r>
      <w:bookmarkEnd w:id="35"/>
      <w:r>
        <w:rPr>
          <w:rFonts w:hint="eastAsia"/>
          <w:b/>
          <w:sz w:val="24"/>
          <w:szCs w:val="24"/>
        </w:rPr>
        <w:t>中华人民共和国防治船舶污染海洋环境管理条例》。</w:t>
      </w:r>
    </w:p>
    <w:p>
      <w:pPr>
        <w:pStyle w:val="18"/>
        <w:spacing w:beforeLines="50"/>
        <w:ind w:firstLine="480"/>
        <w:jc w:val="both"/>
        <w:rPr>
          <w:sz w:val="24"/>
          <w:szCs w:val="24"/>
        </w:rPr>
      </w:pPr>
      <w:r>
        <w:rPr>
          <w:rFonts w:hint="eastAsia"/>
          <w:sz w:val="24"/>
          <w:szCs w:val="24"/>
        </w:rPr>
        <w:t>修订后的</w:t>
      </w:r>
      <w:r>
        <w:rPr>
          <w:sz w:val="24"/>
          <w:szCs w:val="24"/>
        </w:rPr>
        <w:t>《中华人民共和国防治船舶污染海洋环境管理条例》自201</w:t>
      </w:r>
      <w:r>
        <w:rPr>
          <w:rFonts w:hint="eastAsia"/>
          <w:sz w:val="24"/>
          <w:szCs w:val="24"/>
        </w:rPr>
        <w:t>8</w:t>
      </w:r>
      <w:r>
        <w:rPr>
          <w:sz w:val="24"/>
          <w:szCs w:val="24"/>
        </w:rPr>
        <w:t>年3月1</w:t>
      </w:r>
      <w:r>
        <w:rPr>
          <w:rFonts w:hint="eastAsia"/>
          <w:sz w:val="24"/>
          <w:szCs w:val="24"/>
        </w:rPr>
        <w:t>9</w:t>
      </w:r>
      <w:r>
        <w:rPr>
          <w:sz w:val="24"/>
          <w:szCs w:val="24"/>
        </w:rPr>
        <w:t>日起</w:t>
      </w:r>
      <w:r>
        <w:rPr>
          <w:rFonts w:hint="eastAsia"/>
          <w:sz w:val="24"/>
          <w:szCs w:val="24"/>
        </w:rPr>
        <w:t>执行</w:t>
      </w:r>
      <w:r>
        <w:rPr>
          <w:sz w:val="24"/>
          <w:szCs w:val="24"/>
        </w:rPr>
        <w:t>，</w:t>
      </w:r>
      <w:r>
        <w:rPr>
          <w:rFonts w:hint="eastAsia"/>
          <w:sz w:val="24"/>
          <w:szCs w:val="24"/>
        </w:rPr>
        <w:t>《</w:t>
      </w:r>
      <w:r>
        <w:rPr>
          <w:sz w:val="24"/>
          <w:szCs w:val="24"/>
        </w:rPr>
        <w:t>条例</w:t>
      </w:r>
      <w:r>
        <w:rPr>
          <w:rFonts w:hint="eastAsia"/>
          <w:sz w:val="24"/>
          <w:szCs w:val="24"/>
        </w:rPr>
        <w:t>》第二十条</w:t>
      </w:r>
      <w:r>
        <w:rPr>
          <w:sz w:val="24"/>
          <w:szCs w:val="24"/>
        </w:rPr>
        <w:t>要求</w:t>
      </w:r>
      <w:r>
        <w:rPr>
          <w:rFonts w:hint="eastAsia"/>
          <w:sz w:val="24"/>
          <w:szCs w:val="24"/>
        </w:rPr>
        <w:t>：</w:t>
      </w:r>
      <w:r>
        <w:rPr>
          <w:sz w:val="24"/>
          <w:szCs w:val="24"/>
        </w:rPr>
        <w:t>船舶清舱、洗舱等</w:t>
      </w:r>
      <w:r>
        <w:rPr>
          <w:rFonts w:hint="eastAsia"/>
          <w:sz w:val="24"/>
          <w:szCs w:val="24"/>
        </w:rPr>
        <w:t>作业</w:t>
      </w:r>
      <w:r>
        <w:rPr>
          <w:sz w:val="24"/>
          <w:szCs w:val="24"/>
        </w:rPr>
        <w:t>活动，应当遵守相关操作规程，并采取必要的安全和防治污染的措施，从事前款规定的作业活动的人员，应当具备相关安全和防治污染的专业知识和技能。</w:t>
      </w:r>
    </w:p>
    <w:p>
      <w:pPr>
        <w:pStyle w:val="18"/>
        <w:spacing w:beforeLines="50"/>
        <w:ind w:firstLine="482"/>
        <w:jc w:val="both"/>
        <w:rPr>
          <w:b/>
          <w:sz w:val="24"/>
          <w:szCs w:val="24"/>
        </w:rPr>
      </w:pPr>
      <w:r>
        <w:rPr>
          <w:rFonts w:hint="eastAsia"/>
          <w:b/>
          <w:sz w:val="24"/>
          <w:szCs w:val="24"/>
        </w:rPr>
        <w:t>3．《中华人民共和国防治船舶污染内河水域环境管理规定》。</w:t>
      </w:r>
    </w:p>
    <w:p>
      <w:pPr>
        <w:pStyle w:val="18"/>
        <w:spacing w:beforeLines="50"/>
        <w:ind w:firstLine="480"/>
        <w:jc w:val="both"/>
        <w:rPr>
          <w:sz w:val="24"/>
          <w:szCs w:val="24"/>
        </w:rPr>
      </w:pPr>
      <w:r>
        <w:rPr>
          <w:rFonts w:hint="eastAsia"/>
          <w:sz w:val="24"/>
          <w:szCs w:val="24"/>
        </w:rPr>
        <w:t>《中华人民共和国防治船舶污染内河水域环境管理规定》自2016年5月1日起施行。《规定》第二十一条要求：船舶清舱、洗舱作业过程中，应当遵守有关操作规程，采取必要的防治污染措施。船舶在港从事前款所列相关作业的，在开始作业时，应当通过甚高频、电话或者信息系统等向海事管理机构报告作业时间、作业内容等信息。</w:t>
      </w:r>
    </w:p>
    <w:p>
      <w:pPr>
        <w:pStyle w:val="18"/>
        <w:spacing w:beforeLines="50"/>
        <w:ind w:firstLine="482"/>
        <w:jc w:val="both"/>
        <w:rPr>
          <w:b/>
          <w:sz w:val="24"/>
          <w:szCs w:val="24"/>
        </w:rPr>
      </w:pPr>
      <w:r>
        <w:rPr>
          <w:rFonts w:hint="eastAsia"/>
          <w:b/>
          <w:sz w:val="24"/>
          <w:szCs w:val="24"/>
        </w:rPr>
        <w:t>4．《中华人民共和国船舶载运危险货物安全监督管理规定》。</w:t>
      </w:r>
    </w:p>
    <w:p>
      <w:pPr>
        <w:pStyle w:val="18"/>
        <w:spacing w:beforeLines="50"/>
        <w:ind w:firstLine="480"/>
        <w:jc w:val="both"/>
        <w:rPr>
          <w:sz w:val="24"/>
          <w:szCs w:val="24"/>
        </w:rPr>
      </w:pPr>
      <w:r>
        <w:rPr>
          <w:rFonts w:hint="eastAsia"/>
          <w:sz w:val="24"/>
          <w:szCs w:val="24"/>
        </w:rPr>
        <w:t>修订后的《中华人民共和国船舶载运危险货物安全监督管理规定》自2018年9月15日起施行。《规定》第三十一条要求：从事原油洗舱作业的指挥人员，应当按照规定参加原油洗舱的特殊培训，具备船舶安全与防污染知识和专业操作技能，经海事管理机构考试、评估，取得合格证书后，方可上岗作业。</w:t>
      </w:r>
    </w:p>
    <w:p>
      <w:pPr>
        <w:pStyle w:val="18"/>
        <w:spacing w:beforeLines="50"/>
        <w:ind w:firstLine="482"/>
        <w:jc w:val="both"/>
        <w:rPr>
          <w:b/>
          <w:sz w:val="24"/>
          <w:szCs w:val="24"/>
        </w:rPr>
      </w:pPr>
      <w:bookmarkStart w:id="36" w:name="_Toc338226814"/>
      <w:r>
        <w:rPr>
          <w:rFonts w:hint="eastAsia"/>
          <w:b/>
          <w:sz w:val="24"/>
          <w:szCs w:val="24"/>
        </w:rPr>
        <w:t>5．</w:t>
      </w:r>
      <w:r>
        <w:rPr>
          <w:b/>
          <w:sz w:val="24"/>
          <w:szCs w:val="24"/>
        </w:rPr>
        <w:t>关于印发《STCW公约马尼拉修正案过渡规定实施办法》的通知（海船员〔2012〕172号）</w:t>
      </w:r>
      <w:bookmarkEnd w:id="36"/>
      <w:r>
        <w:rPr>
          <w:rFonts w:hint="eastAsia"/>
          <w:b/>
          <w:sz w:val="24"/>
          <w:szCs w:val="24"/>
        </w:rPr>
        <w:t>。</w:t>
      </w:r>
    </w:p>
    <w:p>
      <w:pPr>
        <w:pStyle w:val="18"/>
        <w:spacing w:beforeLines="50"/>
        <w:ind w:firstLine="480"/>
        <w:jc w:val="both"/>
        <w:rPr>
          <w:sz w:val="24"/>
          <w:szCs w:val="24"/>
        </w:rPr>
      </w:pPr>
      <w:r>
        <w:rPr>
          <w:rFonts w:hint="eastAsia"/>
          <w:sz w:val="24"/>
          <w:szCs w:val="24"/>
        </w:rPr>
        <w:t>该《</w:t>
      </w:r>
      <w:r>
        <w:rPr>
          <w:sz w:val="24"/>
          <w:szCs w:val="24"/>
        </w:rPr>
        <w:t>办法</w:t>
      </w:r>
      <w:r>
        <w:rPr>
          <w:rFonts w:hint="eastAsia"/>
          <w:sz w:val="24"/>
          <w:szCs w:val="24"/>
        </w:rPr>
        <w:t>》</w:t>
      </w:r>
      <w:r>
        <w:rPr>
          <w:sz w:val="24"/>
          <w:szCs w:val="24"/>
        </w:rPr>
        <w:t>自2012年3月1日起实施</w:t>
      </w:r>
      <w:r>
        <w:rPr>
          <w:rFonts w:hint="eastAsia"/>
          <w:sz w:val="24"/>
          <w:szCs w:val="24"/>
        </w:rPr>
        <w:t>，</w:t>
      </w:r>
      <w:r>
        <w:rPr>
          <w:sz w:val="24"/>
          <w:szCs w:val="24"/>
        </w:rPr>
        <w:t>要求油船、化学品船货物操作基本培训过渡期培训纲要与学时（化补油）中要开设</w:t>
      </w:r>
      <w:r>
        <w:rPr>
          <w:rFonts w:hint="eastAsia"/>
          <w:sz w:val="24"/>
          <w:szCs w:val="24"/>
        </w:rPr>
        <w:t>“</w:t>
      </w:r>
      <w:r>
        <w:rPr>
          <w:sz w:val="24"/>
          <w:szCs w:val="24"/>
        </w:rPr>
        <w:t>洗舱基本知识</w:t>
      </w:r>
      <w:r>
        <w:rPr>
          <w:rFonts w:hint="eastAsia"/>
          <w:sz w:val="24"/>
          <w:szCs w:val="24"/>
        </w:rPr>
        <w:t>”</w:t>
      </w:r>
      <w:r>
        <w:rPr>
          <w:sz w:val="24"/>
          <w:szCs w:val="24"/>
        </w:rPr>
        <w:t>、</w:t>
      </w:r>
      <w:r>
        <w:rPr>
          <w:rFonts w:hint="eastAsia"/>
          <w:sz w:val="24"/>
          <w:szCs w:val="24"/>
        </w:rPr>
        <w:t>“</w:t>
      </w:r>
      <w:r>
        <w:rPr>
          <w:sz w:val="24"/>
          <w:szCs w:val="24"/>
        </w:rPr>
        <w:t>舱气置换的基本知识</w:t>
      </w:r>
      <w:r>
        <w:rPr>
          <w:rFonts w:hint="eastAsia"/>
          <w:sz w:val="24"/>
          <w:szCs w:val="24"/>
        </w:rPr>
        <w:t>”</w:t>
      </w:r>
      <w:r>
        <w:rPr>
          <w:sz w:val="24"/>
          <w:szCs w:val="24"/>
        </w:rPr>
        <w:t>；</w:t>
      </w:r>
      <w:r>
        <w:rPr>
          <w:rFonts w:hint="eastAsia"/>
          <w:sz w:val="24"/>
          <w:szCs w:val="24"/>
        </w:rPr>
        <w:t>“</w:t>
      </w:r>
      <w:r>
        <w:rPr>
          <w:sz w:val="24"/>
          <w:szCs w:val="24"/>
        </w:rPr>
        <w:t>油船货物操作高级培训过渡期培训纲要与学时</w:t>
      </w:r>
      <w:r>
        <w:rPr>
          <w:rFonts w:hint="eastAsia"/>
          <w:sz w:val="24"/>
          <w:szCs w:val="24"/>
        </w:rPr>
        <w:t>”</w:t>
      </w:r>
      <w:r>
        <w:rPr>
          <w:sz w:val="24"/>
          <w:szCs w:val="24"/>
        </w:rPr>
        <w:t>中开设</w:t>
      </w:r>
      <w:r>
        <w:rPr>
          <w:rFonts w:hint="eastAsia"/>
          <w:sz w:val="24"/>
          <w:szCs w:val="24"/>
        </w:rPr>
        <w:t>“</w:t>
      </w:r>
      <w:r>
        <w:rPr>
          <w:sz w:val="24"/>
          <w:szCs w:val="24"/>
        </w:rPr>
        <w:t>熟悉洗舱前的准备工作</w:t>
      </w:r>
      <w:r>
        <w:rPr>
          <w:rFonts w:hint="eastAsia"/>
          <w:sz w:val="24"/>
          <w:szCs w:val="24"/>
        </w:rPr>
        <w:t>”</w:t>
      </w:r>
      <w:r>
        <w:rPr>
          <w:sz w:val="24"/>
          <w:szCs w:val="24"/>
        </w:rPr>
        <w:t>、</w:t>
      </w:r>
      <w:r>
        <w:rPr>
          <w:rFonts w:hint="eastAsia"/>
          <w:sz w:val="24"/>
          <w:szCs w:val="24"/>
        </w:rPr>
        <w:t>“</w:t>
      </w:r>
      <w:r>
        <w:rPr>
          <w:sz w:val="24"/>
          <w:szCs w:val="24"/>
        </w:rPr>
        <w:t>熟悉洗舱期间的注意事项</w:t>
      </w:r>
      <w:r>
        <w:rPr>
          <w:rFonts w:hint="eastAsia"/>
          <w:sz w:val="24"/>
          <w:szCs w:val="24"/>
        </w:rPr>
        <w:t>”</w:t>
      </w:r>
      <w:r>
        <w:rPr>
          <w:sz w:val="24"/>
          <w:szCs w:val="24"/>
        </w:rPr>
        <w:t>、</w:t>
      </w:r>
      <w:r>
        <w:rPr>
          <w:rFonts w:hint="eastAsia"/>
          <w:sz w:val="24"/>
          <w:szCs w:val="24"/>
        </w:rPr>
        <w:t>“</w:t>
      </w:r>
      <w:r>
        <w:rPr>
          <w:sz w:val="24"/>
          <w:szCs w:val="24"/>
        </w:rPr>
        <w:t>熟悉洗舱后的检验和评估</w:t>
      </w:r>
      <w:r>
        <w:rPr>
          <w:rFonts w:hint="eastAsia"/>
          <w:sz w:val="24"/>
          <w:szCs w:val="24"/>
        </w:rPr>
        <w:t>”</w:t>
      </w:r>
      <w:r>
        <w:rPr>
          <w:sz w:val="24"/>
          <w:szCs w:val="24"/>
        </w:rPr>
        <w:t>等洗舱相关课程。</w:t>
      </w:r>
    </w:p>
    <w:p>
      <w:pPr>
        <w:pStyle w:val="18"/>
        <w:spacing w:beforeLines="50"/>
        <w:ind w:firstLine="482"/>
        <w:jc w:val="both"/>
        <w:rPr>
          <w:b/>
          <w:sz w:val="24"/>
          <w:szCs w:val="24"/>
        </w:rPr>
      </w:pPr>
      <w:r>
        <w:rPr>
          <w:rFonts w:hint="eastAsia"/>
          <w:b/>
          <w:sz w:val="24"/>
          <w:szCs w:val="24"/>
        </w:rPr>
        <w:t>6．关于印发《内河船舶船员特殊培训考试和发证办法》的通知（海船员〔2012〕625号）。</w:t>
      </w:r>
    </w:p>
    <w:p>
      <w:pPr>
        <w:pStyle w:val="18"/>
        <w:spacing w:beforeLines="50"/>
        <w:ind w:firstLine="480"/>
        <w:jc w:val="both"/>
        <w:rPr>
          <w:sz w:val="24"/>
          <w:szCs w:val="24"/>
        </w:rPr>
      </w:pPr>
      <w:r>
        <w:rPr>
          <w:rFonts w:hint="eastAsia"/>
          <w:sz w:val="24"/>
          <w:szCs w:val="24"/>
        </w:rPr>
        <w:t>该《办法》自2012年8月23日起实施，在内河油船船员特殊培训考试大纲中要求对“油船洗舱目的和要求”、“油船洗舱系统和设备”、“油船洗舱程序”、“油船洗舱作业的安全防范措施”等知识进行培训。</w:t>
      </w:r>
    </w:p>
    <w:p>
      <w:pPr>
        <w:pStyle w:val="18"/>
        <w:spacing w:beforeLines="50"/>
        <w:ind w:firstLine="482"/>
        <w:jc w:val="both"/>
        <w:rPr>
          <w:b/>
          <w:sz w:val="24"/>
          <w:szCs w:val="24"/>
        </w:rPr>
      </w:pPr>
      <w:bookmarkStart w:id="37" w:name="_Toc338226815"/>
      <w:r>
        <w:rPr>
          <w:rFonts w:hint="eastAsia"/>
          <w:b/>
          <w:sz w:val="24"/>
          <w:szCs w:val="24"/>
        </w:rPr>
        <w:t>7．</w:t>
      </w:r>
      <w:r>
        <w:rPr>
          <w:b/>
          <w:sz w:val="24"/>
          <w:szCs w:val="24"/>
        </w:rPr>
        <w:t>关于在全国海事系统统一推行《海事执法业务工作流程》（第一部分）的通知（海法规</w:t>
      </w:r>
      <w:r>
        <w:rPr>
          <w:rFonts w:hint="eastAsia"/>
          <w:b/>
          <w:sz w:val="24"/>
          <w:szCs w:val="24"/>
        </w:rPr>
        <w:t>〔</w:t>
      </w:r>
      <w:r>
        <w:rPr>
          <w:b/>
          <w:sz w:val="24"/>
          <w:szCs w:val="24"/>
        </w:rPr>
        <w:t>2011</w:t>
      </w:r>
      <w:r>
        <w:rPr>
          <w:rFonts w:hint="eastAsia"/>
          <w:b/>
          <w:sz w:val="24"/>
          <w:szCs w:val="24"/>
        </w:rPr>
        <w:t>〕</w:t>
      </w:r>
      <w:r>
        <w:rPr>
          <w:b/>
          <w:sz w:val="24"/>
          <w:szCs w:val="24"/>
        </w:rPr>
        <w:t>183号）</w:t>
      </w:r>
      <w:bookmarkEnd w:id="37"/>
      <w:r>
        <w:rPr>
          <w:rFonts w:hint="eastAsia"/>
          <w:b/>
          <w:sz w:val="24"/>
          <w:szCs w:val="24"/>
        </w:rPr>
        <w:t>。</w:t>
      </w:r>
    </w:p>
    <w:p>
      <w:pPr>
        <w:pStyle w:val="18"/>
        <w:spacing w:beforeLines="50"/>
        <w:ind w:firstLine="480"/>
        <w:jc w:val="both"/>
        <w:rPr>
          <w:sz w:val="24"/>
          <w:szCs w:val="24"/>
        </w:rPr>
      </w:pPr>
      <w:r>
        <w:rPr>
          <w:rFonts w:hint="eastAsia"/>
          <w:sz w:val="24"/>
          <w:szCs w:val="24"/>
        </w:rPr>
        <w:t>该《通知》规定了</w:t>
      </w:r>
      <w:r>
        <w:rPr>
          <w:sz w:val="24"/>
          <w:szCs w:val="24"/>
        </w:rPr>
        <w:t>船舶在港区水域洗舱、清舱、驱气以及船舶在港区水域排放压载水、洗舱水、残油、含油污水列为行政许可，并规范了相关审批流程。</w:t>
      </w:r>
    </w:p>
    <w:p>
      <w:pPr>
        <w:pStyle w:val="3"/>
      </w:pPr>
      <w:bookmarkStart w:id="38" w:name="_Toc15751158"/>
      <w:bookmarkStart w:id="39" w:name="_Toc13222584"/>
      <w:bookmarkStart w:id="40" w:name="_Toc516735508"/>
      <w:r>
        <w:rPr>
          <w:rFonts w:hint="eastAsia"/>
        </w:rPr>
        <w:t>（二）相关技术标准</w:t>
      </w:r>
      <w:bookmarkEnd w:id="38"/>
      <w:bookmarkEnd w:id="39"/>
      <w:bookmarkEnd w:id="40"/>
      <w:r>
        <w:rPr>
          <w:rFonts w:hint="eastAsia"/>
        </w:rPr>
        <w:t>。</w:t>
      </w:r>
    </w:p>
    <w:p>
      <w:pPr>
        <w:pStyle w:val="18"/>
        <w:spacing w:beforeLines="50"/>
        <w:ind w:firstLine="482"/>
        <w:jc w:val="both"/>
        <w:rPr>
          <w:b/>
          <w:sz w:val="24"/>
          <w:szCs w:val="24"/>
        </w:rPr>
      </w:pPr>
      <w:r>
        <w:rPr>
          <w:rFonts w:hint="eastAsia"/>
          <w:b/>
          <w:sz w:val="24"/>
          <w:szCs w:val="24"/>
        </w:rPr>
        <w:t>1．《油船油码头安全作业规程》（G</w:t>
      </w:r>
      <w:r>
        <w:rPr>
          <w:b/>
          <w:sz w:val="24"/>
          <w:szCs w:val="24"/>
        </w:rPr>
        <w:t>B 18434-2001</w:t>
      </w:r>
      <w:r>
        <w:rPr>
          <w:rFonts w:hint="eastAsia"/>
          <w:b/>
          <w:sz w:val="24"/>
          <w:szCs w:val="24"/>
        </w:rPr>
        <w:t>）。</w:t>
      </w:r>
    </w:p>
    <w:p>
      <w:pPr>
        <w:pStyle w:val="18"/>
        <w:spacing w:beforeLines="50"/>
        <w:ind w:firstLine="480"/>
        <w:jc w:val="both"/>
        <w:rPr>
          <w:sz w:val="24"/>
          <w:szCs w:val="24"/>
        </w:rPr>
      </w:pPr>
      <w:r>
        <w:rPr>
          <w:rFonts w:hint="eastAsia"/>
          <w:sz w:val="24"/>
          <w:szCs w:val="24"/>
        </w:rPr>
        <w:t>该标准的全部技术内容为强制性，规定了油船和油码头的一般预防措施，油船在抵港、靠泊、装卸、压载、洗舱、除气和进入封闭舱室等作业时的安全作业规程。该标准非等效采用了国际航运协会（ICS）、石油公司国际海事论坛（OCIMF）与国际港口与码头联合会（IAPH）出版的《国际油轮与油码头安全指南》（第4版：1996年）。</w:t>
      </w:r>
    </w:p>
    <w:p>
      <w:pPr>
        <w:pStyle w:val="18"/>
        <w:spacing w:beforeLines="50"/>
        <w:ind w:firstLine="482"/>
        <w:jc w:val="both"/>
        <w:rPr>
          <w:b/>
          <w:sz w:val="24"/>
          <w:szCs w:val="24"/>
        </w:rPr>
      </w:pPr>
      <w:r>
        <w:rPr>
          <w:rFonts w:hint="eastAsia"/>
          <w:b/>
          <w:sz w:val="24"/>
          <w:szCs w:val="24"/>
        </w:rPr>
        <w:t>2．《油船静电安全技术要求》（编制中，计划编号：20183397-Q-348）。</w:t>
      </w:r>
    </w:p>
    <w:p>
      <w:pPr>
        <w:pStyle w:val="18"/>
        <w:spacing w:beforeLines="50"/>
        <w:ind w:firstLine="480"/>
        <w:jc w:val="both"/>
        <w:rPr>
          <w:sz w:val="24"/>
          <w:szCs w:val="24"/>
        </w:rPr>
      </w:pPr>
      <w:r>
        <w:rPr>
          <w:rFonts w:hint="eastAsia"/>
          <w:sz w:val="24"/>
          <w:szCs w:val="24"/>
        </w:rPr>
        <w:t>该标准规定了油船静电事故的防护措施，适用于承运散装原油及其成品油船舶的防静电危害的生产作业。具体包括接地、油品的装卸、洗舱、货油舱压载等作业过程中的油船静电危害防护措施。</w:t>
      </w:r>
    </w:p>
    <w:p>
      <w:pPr>
        <w:pStyle w:val="3"/>
      </w:pPr>
      <w:bookmarkStart w:id="41" w:name="_Toc15751159"/>
      <w:bookmarkStart w:id="42" w:name="_Toc13222585"/>
      <w:bookmarkStart w:id="43" w:name="_Toc516735509"/>
      <w:r>
        <w:rPr>
          <w:rFonts w:hint="eastAsia"/>
        </w:rPr>
        <w:t>（三）与有关现行法律、法规和其他强制性标准的关系</w:t>
      </w:r>
      <w:bookmarkEnd w:id="41"/>
      <w:bookmarkEnd w:id="42"/>
      <w:bookmarkEnd w:id="43"/>
      <w:r>
        <w:rPr>
          <w:rFonts w:hint="eastAsia"/>
        </w:rPr>
        <w:t>。</w:t>
      </w:r>
    </w:p>
    <w:p>
      <w:pPr>
        <w:pStyle w:val="18"/>
        <w:spacing w:beforeLines="50"/>
        <w:ind w:firstLine="480"/>
        <w:jc w:val="both"/>
        <w:rPr>
          <w:sz w:val="24"/>
          <w:szCs w:val="24"/>
        </w:rPr>
      </w:pPr>
      <w:r>
        <w:rPr>
          <w:rFonts w:hint="eastAsia"/>
          <w:sz w:val="24"/>
          <w:szCs w:val="24"/>
        </w:rPr>
        <w:t>目前和《油船清洗舱安全作业要求》相关联的国家标准主要是《油船油码头安全作业规程》（G</w:t>
      </w:r>
      <w:r>
        <w:rPr>
          <w:sz w:val="24"/>
          <w:szCs w:val="24"/>
        </w:rPr>
        <w:t>B 18434-2001</w:t>
      </w:r>
      <w:r>
        <w:rPr>
          <w:rFonts w:hint="eastAsia"/>
          <w:sz w:val="24"/>
          <w:szCs w:val="24"/>
        </w:rPr>
        <w:t>）和《油船静电安全技术要求》。《油船油码头安全作业规程》（GB</w:t>
      </w:r>
      <w:r>
        <w:rPr>
          <w:sz w:val="24"/>
          <w:szCs w:val="24"/>
        </w:rPr>
        <w:t xml:space="preserve"> </w:t>
      </w:r>
      <w:r>
        <w:rPr>
          <w:rFonts w:hint="eastAsia"/>
          <w:sz w:val="24"/>
          <w:szCs w:val="24"/>
        </w:rPr>
        <w:t>18434-2001）于2001年发布，该标准涉及有关油船洗舱、除气和进入封闭舱室等作业时的安全作业规程，部分内容与本标准内容有所重叠，但该标准非等效采用的是《国际油轮与油码头安全指南》（第4版：1996年），其相关内容目前已经不能满足目前相关公约、规则以及行业的需求，目前该标准已经列入2018年国家标准制修订计划。</w:t>
      </w:r>
    </w:p>
    <w:p>
      <w:pPr>
        <w:pStyle w:val="18"/>
        <w:spacing w:beforeLines="50"/>
        <w:ind w:firstLine="480"/>
        <w:jc w:val="both"/>
        <w:rPr>
          <w:sz w:val="24"/>
          <w:szCs w:val="24"/>
        </w:rPr>
      </w:pPr>
      <w:r>
        <w:rPr>
          <w:rFonts w:hint="eastAsia"/>
          <w:sz w:val="24"/>
          <w:szCs w:val="24"/>
        </w:rPr>
        <w:t>《油船静电安全技术要求》规定了油船作业期间的接地、油品的装卸、洗舱、货油舱压载等作业过程中的油船静电危害防护措施，目前该标准已列入2019年交通运输标准计划（第一批）国家标准项目清单（计划编号：20183397-Q-348）。</w:t>
      </w:r>
    </w:p>
    <w:p>
      <w:pPr>
        <w:pStyle w:val="18"/>
        <w:spacing w:beforeLines="50"/>
        <w:ind w:firstLine="480"/>
        <w:jc w:val="both"/>
        <w:rPr>
          <w:sz w:val="24"/>
          <w:szCs w:val="24"/>
        </w:rPr>
      </w:pPr>
      <w:r>
        <w:rPr>
          <w:rFonts w:hint="eastAsia"/>
          <w:sz w:val="24"/>
          <w:szCs w:val="24"/>
        </w:rPr>
        <w:t>本次《油船清洗舱安全作业要求》标准的编制，体现了我国有关现行法律、法规和相关国际公约、规则的最新要求，同时参考了《国际油轮与油码头安全指南》（第5版）的相关技术指标和作业流程等，在内容上与我国现行有效的《油船油码头安全作业规程》（GB</w:t>
      </w:r>
      <w:r>
        <w:rPr>
          <w:sz w:val="24"/>
          <w:szCs w:val="24"/>
        </w:rPr>
        <w:t xml:space="preserve"> </w:t>
      </w:r>
      <w:r>
        <w:rPr>
          <w:rFonts w:hint="eastAsia"/>
          <w:sz w:val="24"/>
          <w:szCs w:val="24"/>
        </w:rPr>
        <w:t>18434-2001）、《油船静电安全技术要求》形成互补关系，满足上述标准的相关要求，同时在油船洗舱作业方面，结合目前现状及行业发展趋势，要求更为细致，技术指标要求更高。</w:t>
      </w:r>
    </w:p>
    <w:p>
      <w:pPr>
        <w:pStyle w:val="2"/>
        <w:numPr>
          <w:ilvl w:val="0"/>
          <w:numId w:val="0"/>
        </w:numPr>
        <w:ind w:firstLine="482" w:firstLineChars="200"/>
      </w:pPr>
      <w:bookmarkStart w:id="44" w:name="_Toc15751160"/>
      <w:r>
        <w:rPr>
          <w:rFonts w:hint="eastAsia"/>
        </w:rPr>
        <w:t>五、重大意见分歧的处理结果和依据</w:t>
      </w:r>
      <w:bookmarkEnd w:id="44"/>
    </w:p>
    <w:p>
      <w:pPr>
        <w:pStyle w:val="18"/>
        <w:spacing w:beforeLines="50"/>
        <w:ind w:firstLine="480"/>
        <w:jc w:val="both"/>
        <w:rPr>
          <w:sz w:val="24"/>
          <w:szCs w:val="24"/>
        </w:rPr>
      </w:pPr>
      <w:r>
        <w:rPr>
          <w:rFonts w:hint="eastAsia"/>
          <w:sz w:val="24"/>
          <w:szCs w:val="24"/>
        </w:rPr>
        <w:t>无。</w:t>
      </w:r>
    </w:p>
    <w:p>
      <w:pPr>
        <w:pStyle w:val="2"/>
        <w:numPr>
          <w:ilvl w:val="0"/>
          <w:numId w:val="0"/>
        </w:numPr>
        <w:ind w:firstLine="482" w:firstLineChars="200"/>
      </w:pPr>
      <w:bookmarkStart w:id="45" w:name="_Toc15751161"/>
      <w:r>
        <w:rPr>
          <w:rFonts w:hint="eastAsia"/>
        </w:rPr>
        <w:t>六、强制的理由</w:t>
      </w:r>
      <w:r>
        <w:rPr>
          <w:rFonts w:hint="eastAsia"/>
          <w:lang w:eastAsia="zh-CN"/>
        </w:rPr>
        <w:t>及</w:t>
      </w:r>
      <w:r>
        <w:rPr>
          <w:rFonts w:hint="eastAsia"/>
        </w:rPr>
        <w:t>预期的社会经济效果</w:t>
      </w:r>
      <w:bookmarkEnd w:id="45"/>
    </w:p>
    <w:p>
      <w:pPr>
        <w:pStyle w:val="3"/>
      </w:pPr>
      <w:bookmarkStart w:id="46" w:name="_Toc15751162"/>
      <w:r>
        <w:rPr>
          <w:rFonts w:hint="eastAsia"/>
        </w:rPr>
        <w:t>（一）强制的理由</w:t>
      </w:r>
      <w:bookmarkEnd w:id="46"/>
      <w:r>
        <w:rPr>
          <w:rFonts w:hint="eastAsia"/>
        </w:rPr>
        <w:t>。</w:t>
      </w:r>
    </w:p>
    <w:p>
      <w:pPr>
        <w:pStyle w:val="18"/>
        <w:spacing w:beforeLines="50"/>
        <w:ind w:firstLine="480"/>
        <w:jc w:val="both"/>
        <w:rPr>
          <w:sz w:val="24"/>
          <w:szCs w:val="24"/>
        </w:rPr>
      </w:pPr>
      <w:r>
        <w:rPr>
          <w:rFonts w:hint="eastAsia"/>
          <w:sz w:val="24"/>
          <w:szCs w:val="24"/>
        </w:rPr>
        <w:t>我国经济的快速发展对水运业产生了巨大的需求，水运业的巨大体量也导致了安全风险的增加。油船洗舱作业频繁，一旦发生火灾、爆炸等事故，对生命财产安全、环境及社会影响都将是灾难性的。尤其是目前全社会的安全风险防控意识有了显著提高，因而对洗舱作业安全水平提出了更高的要求。为此，只有采取必要的措施，进一步强制提高安全技术标准要求，大力发展相关安全配套产业设施，提升从业人员的安全意识，加强管理，综合提升社会整体安全水平，才能解决我国社会日益突出的经济快速发展与安全需求日益提高之间的矛盾。</w:t>
      </w:r>
    </w:p>
    <w:p>
      <w:pPr>
        <w:pStyle w:val="3"/>
      </w:pPr>
      <w:bookmarkStart w:id="47" w:name="_Toc15751163"/>
      <w:r>
        <w:rPr>
          <w:rFonts w:hint="eastAsia"/>
        </w:rPr>
        <w:t>（二）预期的社会经济效果</w:t>
      </w:r>
      <w:bookmarkEnd w:id="47"/>
      <w:r>
        <w:rPr>
          <w:rFonts w:hint="eastAsia"/>
        </w:rPr>
        <w:t>。</w:t>
      </w:r>
    </w:p>
    <w:p>
      <w:pPr>
        <w:pStyle w:val="18"/>
        <w:spacing w:beforeLines="50"/>
        <w:ind w:firstLine="480"/>
        <w:jc w:val="both"/>
        <w:rPr>
          <w:sz w:val="24"/>
          <w:szCs w:val="24"/>
        </w:rPr>
      </w:pPr>
      <w:r>
        <w:rPr>
          <w:rFonts w:hint="eastAsia"/>
          <w:sz w:val="24"/>
          <w:szCs w:val="24"/>
        </w:rPr>
        <w:t>本次编制的《油船清洗舱安全作业要求》综合考虑了我国远洋、近海和内河运输油船及洗舱站在洗舱、清舱安全作业所涉及的人员、船舶、船公司、作业环境、安保等各方面，对实际清洗舱作业提出了更为规范而严格的安全作业要求，这将对我国油船运输安全提供有力保障，具有良好的社会意义以及综合经济效益。</w:t>
      </w:r>
    </w:p>
    <w:p>
      <w:pPr>
        <w:pStyle w:val="18"/>
        <w:spacing w:beforeLines="50"/>
        <w:ind w:firstLine="480"/>
        <w:jc w:val="both"/>
        <w:rPr>
          <w:sz w:val="24"/>
          <w:szCs w:val="24"/>
        </w:rPr>
      </w:pPr>
      <w:r>
        <w:rPr>
          <w:rFonts w:hint="eastAsia"/>
          <w:sz w:val="24"/>
          <w:szCs w:val="24"/>
        </w:rPr>
        <w:t>本次编制的《油船清洗舱安全作业要求》是指导我国油船洗舱作业的基础性标准。该标准突出了科学性、先进性和可操作性。标准的编制根据我国最新颁布实施法规以及相关国际公约、规则，结合了我国油船洗舱领域的实际情况，对于提高我国油船洗舱作业安全将产生积极的促进作用，具有显著社会效益。</w:t>
      </w:r>
    </w:p>
    <w:p>
      <w:pPr>
        <w:pStyle w:val="2"/>
        <w:numPr>
          <w:ilvl w:val="0"/>
          <w:numId w:val="0"/>
        </w:numPr>
        <w:ind w:firstLine="482" w:firstLineChars="200"/>
      </w:pPr>
      <w:bookmarkStart w:id="48" w:name="_Toc15751164"/>
      <w:r>
        <w:rPr>
          <w:rFonts w:hint="eastAsia"/>
        </w:rPr>
        <w:t>七、贯彻强制性标准的要求、措施建议及设立标准实施过渡期的理由与标准实施日期的建议</w:t>
      </w:r>
      <w:bookmarkEnd w:id="48"/>
    </w:p>
    <w:p>
      <w:pPr>
        <w:pStyle w:val="3"/>
      </w:pPr>
      <w:bookmarkStart w:id="49" w:name="_Toc15751165"/>
      <w:r>
        <w:rPr>
          <w:rFonts w:hint="eastAsia"/>
        </w:rPr>
        <w:t>（一）贯彻强制性标准的要求、措施建议</w:t>
      </w:r>
      <w:bookmarkEnd w:id="49"/>
      <w:r>
        <w:rPr>
          <w:rFonts w:hint="eastAsia"/>
        </w:rPr>
        <w:t>。</w:t>
      </w:r>
    </w:p>
    <w:p>
      <w:pPr>
        <w:pStyle w:val="18"/>
        <w:spacing w:beforeLines="50"/>
        <w:ind w:firstLine="480"/>
        <w:jc w:val="both"/>
        <w:rPr>
          <w:sz w:val="24"/>
          <w:szCs w:val="24"/>
        </w:rPr>
      </w:pPr>
      <w:r>
        <w:rPr>
          <w:rFonts w:hint="eastAsia"/>
          <w:sz w:val="24"/>
          <w:szCs w:val="24"/>
        </w:rPr>
        <w:t>本标准的实施需要有关方面政策、法规以及管理规定的支持，建议制定或修订相关管理政策、措施，使标准修订内容得到较好的贯彻、实施，以提升我国整体油船运输安全水平。为此，建议：</w:t>
      </w:r>
    </w:p>
    <w:p>
      <w:pPr>
        <w:pStyle w:val="18"/>
        <w:spacing w:beforeLines="50"/>
        <w:ind w:firstLine="482"/>
        <w:jc w:val="both"/>
        <w:rPr>
          <w:b/>
          <w:sz w:val="24"/>
          <w:szCs w:val="24"/>
        </w:rPr>
      </w:pPr>
      <w:bookmarkStart w:id="50" w:name="_Toc13222588"/>
      <w:r>
        <w:rPr>
          <w:rFonts w:hint="eastAsia"/>
          <w:b/>
          <w:sz w:val="24"/>
          <w:szCs w:val="24"/>
        </w:rPr>
        <w:t>1．加快相关法规、标准、规范制修订</w:t>
      </w:r>
      <w:bookmarkEnd w:id="50"/>
      <w:r>
        <w:rPr>
          <w:rFonts w:hint="eastAsia"/>
          <w:b/>
          <w:sz w:val="24"/>
          <w:szCs w:val="24"/>
        </w:rPr>
        <w:t>。</w:t>
      </w:r>
    </w:p>
    <w:p>
      <w:pPr>
        <w:pStyle w:val="18"/>
        <w:spacing w:beforeLines="50"/>
        <w:ind w:firstLine="480"/>
        <w:jc w:val="both"/>
        <w:rPr>
          <w:sz w:val="24"/>
          <w:szCs w:val="24"/>
        </w:rPr>
      </w:pPr>
      <w:r>
        <w:rPr>
          <w:rFonts w:hint="eastAsia"/>
          <w:sz w:val="24"/>
          <w:szCs w:val="24"/>
        </w:rPr>
        <w:t>按照国家水运发展总体规划要求，完善相关管理制度，加强油船作业标准、规范的制修订工作。与本标准配套的其他相关油船安全作业技术标准等尽快进行修订。</w:t>
      </w:r>
    </w:p>
    <w:p>
      <w:pPr>
        <w:pStyle w:val="18"/>
        <w:spacing w:beforeLines="50"/>
        <w:ind w:firstLine="482"/>
        <w:jc w:val="both"/>
        <w:rPr>
          <w:b/>
          <w:sz w:val="24"/>
          <w:szCs w:val="24"/>
        </w:rPr>
      </w:pPr>
      <w:bookmarkStart w:id="51" w:name="_Toc13222589"/>
      <w:r>
        <w:rPr>
          <w:rFonts w:hint="eastAsia"/>
          <w:b/>
          <w:sz w:val="24"/>
          <w:szCs w:val="24"/>
        </w:rPr>
        <w:t>2．持续推进船舶结构调整</w:t>
      </w:r>
      <w:bookmarkEnd w:id="51"/>
      <w:r>
        <w:rPr>
          <w:rFonts w:hint="eastAsia"/>
          <w:b/>
          <w:sz w:val="24"/>
          <w:szCs w:val="24"/>
        </w:rPr>
        <w:t>。</w:t>
      </w:r>
    </w:p>
    <w:p>
      <w:pPr>
        <w:pStyle w:val="18"/>
        <w:spacing w:beforeLines="50"/>
        <w:ind w:firstLine="480"/>
        <w:jc w:val="both"/>
        <w:rPr>
          <w:sz w:val="24"/>
          <w:szCs w:val="24"/>
        </w:rPr>
      </w:pPr>
      <w:r>
        <w:rPr>
          <w:rFonts w:hint="eastAsia"/>
          <w:sz w:val="24"/>
          <w:szCs w:val="24"/>
        </w:rPr>
        <w:t>目前我国油船与国际水平的整体差距主要体现在国内航行船舶。为此，建议依法强制报废超过使用年限的船舶，继续落实老旧运输船舶以及单壳油船提前报废更新政策，大力推进内河船型标准化工作，严禁新建不达标船舶进入运输市场。</w:t>
      </w:r>
    </w:p>
    <w:p>
      <w:pPr>
        <w:pStyle w:val="18"/>
        <w:spacing w:beforeLines="50"/>
        <w:ind w:firstLine="482"/>
        <w:jc w:val="both"/>
        <w:rPr>
          <w:b/>
          <w:sz w:val="24"/>
          <w:szCs w:val="24"/>
        </w:rPr>
      </w:pPr>
      <w:bookmarkStart w:id="52" w:name="_Toc13222590"/>
      <w:r>
        <w:rPr>
          <w:rFonts w:hint="eastAsia"/>
          <w:b/>
          <w:sz w:val="24"/>
          <w:szCs w:val="24"/>
        </w:rPr>
        <w:t>3．协同推进我国内河油船洗舱站的合理布点工作</w:t>
      </w:r>
      <w:bookmarkEnd w:id="52"/>
      <w:r>
        <w:rPr>
          <w:rFonts w:hint="eastAsia"/>
          <w:b/>
          <w:sz w:val="24"/>
          <w:szCs w:val="24"/>
        </w:rPr>
        <w:t>。</w:t>
      </w:r>
    </w:p>
    <w:p>
      <w:pPr>
        <w:pStyle w:val="18"/>
        <w:spacing w:beforeLines="50"/>
        <w:ind w:firstLine="480"/>
        <w:jc w:val="both"/>
        <w:rPr>
          <w:sz w:val="24"/>
          <w:szCs w:val="24"/>
        </w:rPr>
      </w:pPr>
      <w:r>
        <w:rPr>
          <w:rFonts w:hint="eastAsia"/>
          <w:sz w:val="24"/>
          <w:szCs w:val="24"/>
        </w:rPr>
        <w:t>目前我国油船洗舱安全的一个主要问题是内河不具备洗舱系统的油船由不具备清洗舱作业资质的单位进行的非法清洗舱，这是一个实际问题。市场有需求，就应合理、规范地满足市场的需求。为此，在我国主要内河流域，根据市场总体需求，进行合理规划，布设规范化的洗舱站点，同时严厉打击非法洗舱作业行为，积极引导市场，以此才能有效解决我国内河油船洗舱安全这一突出矛盾。</w:t>
      </w:r>
    </w:p>
    <w:p>
      <w:pPr>
        <w:pStyle w:val="18"/>
        <w:spacing w:beforeLines="50"/>
        <w:ind w:firstLine="482"/>
        <w:jc w:val="both"/>
        <w:rPr>
          <w:b/>
          <w:sz w:val="24"/>
          <w:szCs w:val="24"/>
        </w:rPr>
      </w:pPr>
      <w:bookmarkStart w:id="53" w:name="_Toc13222591"/>
      <w:r>
        <w:rPr>
          <w:rFonts w:hint="eastAsia"/>
          <w:b/>
          <w:sz w:val="24"/>
          <w:szCs w:val="24"/>
        </w:rPr>
        <w:t>4．加强油船清洗舱作业的海事监管</w:t>
      </w:r>
      <w:bookmarkEnd w:id="53"/>
      <w:r>
        <w:rPr>
          <w:rFonts w:hint="eastAsia"/>
          <w:b/>
          <w:sz w:val="24"/>
          <w:szCs w:val="24"/>
        </w:rPr>
        <w:t>。</w:t>
      </w:r>
    </w:p>
    <w:p>
      <w:pPr>
        <w:pStyle w:val="18"/>
        <w:spacing w:beforeLines="50"/>
        <w:ind w:firstLine="480"/>
        <w:jc w:val="both"/>
        <w:rPr>
          <w:sz w:val="24"/>
          <w:szCs w:val="24"/>
        </w:rPr>
      </w:pPr>
      <w:r>
        <w:rPr>
          <w:rFonts w:hint="eastAsia"/>
          <w:sz w:val="24"/>
          <w:szCs w:val="24"/>
        </w:rPr>
        <w:t>我国油船洗舱安全另一个突出问题是作业程序的不规范。本次编制的标准，规范了作业程序，提高了作业安全的标准，因此势必带了作业强度以及作业成本的增加，但为确保作业的安全，汲取国外的先进经验，以适度的成本换取安全度的有效增加是需要的。为此，在本标准实施后，海事等主管部门要加强对重点船舶、重点洗舱作业站点的洗舱规范化操作监管工作，通过严格管理，达到洗舱作业设备的规范化、洗舱操作人员资质的规范化、洗舱作业程序的规范化，以此综合提升洗舱作业安全度。</w:t>
      </w:r>
    </w:p>
    <w:p>
      <w:pPr>
        <w:pStyle w:val="18"/>
        <w:spacing w:beforeLines="50"/>
        <w:ind w:firstLine="482"/>
        <w:jc w:val="both"/>
        <w:rPr>
          <w:b/>
          <w:sz w:val="24"/>
          <w:szCs w:val="24"/>
        </w:rPr>
      </w:pPr>
      <w:bookmarkStart w:id="54" w:name="_Toc13222592"/>
      <w:r>
        <w:rPr>
          <w:rFonts w:hint="eastAsia"/>
          <w:b/>
          <w:sz w:val="24"/>
          <w:szCs w:val="24"/>
        </w:rPr>
        <w:t>5．加强标准的宣传培训</w:t>
      </w:r>
      <w:bookmarkEnd w:id="54"/>
      <w:r>
        <w:rPr>
          <w:rFonts w:hint="eastAsia"/>
          <w:b/>
          <w:sz w:val="24"/>
          <w:szCs w:val="24"/>
        </w:rPr>
        <w:t>。</w:t>
      </w:r>
    </w:p>
    <w:p>
      <w:pPr>
        <w:pStyle w:val="18"/>
        <w:spacing w:beforeLines="50"/>
        <w:ind w:firstLine="480"/>
        <w:jc w:val="both"/>
        <w:rPr>
          <w:sz w:val="24"/>
          <w:szCs w:val="24"/>
        </w:rPr>
      </w:pPr>
      <w:r>
        <w:rPr>
          <w:rFonts w:hint="eastAsia"/>
          <w:sz w:val="24"/>
          <w:szCs w:val="24"/>
        </w:rPr>
        <w:t>建议做好该标准的宣贯和培训工作。对相关管理人员、生产技术人员、科研人员、一线生产人员开展培训，提高其专业水平；对内河普遍教育程度不高的船员和相关工作人员，开展送标准到家，送技术上船的活动，深入一线进行宣贯。通过积极的宣传，使海事管理部门、船舶检验部门、航运企事业单位、相关从业人员等对该标准有正确的、统一的理解，便于该标准的有效实施。</w:t>
      </w:r>
    </w:p>
    <w:p>
      <w:pPr>
        <w:pStyle w:val="3"/>
      </w:pPr>
      <w:bookmarkStart w:id="55" w:name="_Toc15751166"/>
      <w:r>
        <w:rPr>
          <w:rFonts w:hint="eastAsia"/>
        </w:rPr>
        <w:t>（二）标准实施过渡期</w:t>
      </w:r>
      <w:bookmarkEnd w:id="55"/>
      <w:r>
        <w:rPr>
          <w:rFonts w:hint="eastAsia"/>
        </w:rPr>
        <w:t>及标准实施日期的建议。</w:t>
      </w:r>
    </w:p>
    <w:p>
      <w:pPr>
        <w:pStyle w:val="18"/>
        <w:spacing w:beforeLines="50"/>
        <w:ind w:firstLine="480"/>
        <w:jc w:val="both"/>
        <w:rPr>
          <w:sz w:val="24"/>
          <w:szCs w:val="24"/>
        </w:rPr>
      </w:pPr>
      <w:r>
        <w:rPr>
          <w:rFonts w:hint="eastAsia"/>
          <w:sz w:val="24"/>
          <w:szCs w:val="24"/>
        </w:rPr>
        <w:t>目前我国洗舱作业与国外先进水平之间整体存在的差距在于内河洗舱。而内河洗舱作业目前存在的主要问题是作业程序的规范性问题。洗舱作业设备等不存在核心技术瓶颈问题，实施相关技术改造难度不大。此外，目前我国油船洗舱业安全事故仍时有发生，造成事故的主要的原因大多是管理不到位，作业不规范。而现行标准在内河油船清洗舱安全作业技术要求方面近于空白，已远不能满足目前实际行业的发展需要。综合国家经济、技术政策需要和该标准涉及的产品的技术改造难度等因素方面，本标准编制组认为目前我国实施《油船清洗舱安全作业要求》客观条件成熟，不存在实质性技术改造难度等困难，可不设置标准实施过渡期。此外，基于目前客观实际，现行标准已远不能满足现行实际行业的发展需要，因此建议《油船清洗舱安全作业要求》自发布后六个月开展实施。</w:t>
      </w:r>
    </w:p>
    <w:p>
      <w:pPr>
        <w:pStyle w:val="2"/>
        <w:numPr>
          <w:ilvl w:val="0"/>
          <w:numId w:val="0"/>
        </w:numPr>
        <w:ind w:firstLine="482" w:firstLineChars="200"/>
      </w:pPr>
      <w:bookmarkStart w:id="56" w:name="_Toc15751168"/>
      <w:r>
        <w:rPr>
          <w:rFonts w:hint="eastAsia"/>
        </w:rPr>
        <w:t>八、废止现行有关标准的建议</w:t>
      </w:r>
      <w:bookmarkEnd w:id="56"/>
    </w:p>
    <w:p>
      <w:pPr>
        <w:pStyle w:val="18"/>
        <w:spacing w:beforeLines="50"/>
        <w:ind w:firstLine="480"/>
        <w:jc w:val="both"/>
        <w:rPr>
          <w:sz w:val="24"/>
          <w:szCs w:val="24"/>
        </w:rPr>
      </w:pPr>
      <w:r>
        <w:rPr>
          <w:rFonts w:hint="eastAsia"/>
          <w:sz w:val="24"/>
          <w:szCs w:val="24"/>
        </w:rPr>
        <w:t>本标准发布实施后，废止现行标准</w:t>
      </w:r>
      <w:r>
        <w:rPr>
          <w:sz w:val="24"/>
          <w:szCs w:val="24"/>
        </w:rPr>
        <w:t>JT 154-</w:t>
      </w:r>
      <w:r>
        <w:rPr>
          <w:rFonts w:hint="eastAsia"/>
          <w:sz w:val="24"/>
          <w:szCs w:val="24"/>
        </w:rPr>
        <w:t>19</w:t>
      </w:r>
      <w:r>
        <w:rPr>
          <w:sz w:val="24"/>
          <w:szCs w:val="24"/>
        </w:rPr>
        <w:t>94</w:t>
      </w:r>
      <w:r>
        <w:rPr>
          <w:rFonts w:hint="eastAsia"/>
          <w:sz w:val="24"/>
          <w:szCs w:val="24"/>
        </w:rPr>
        <w:t>。</w:t>
      </w:r>
    </w:p>
    <w:p>
      <w:pPr>
        <w:pStyle w:val="2"/>
        <w:numPr>
          <w:ilvl w:val="0"/>
          <w:numId w:val="0"/>
        </w:numPr>
        <w:ind w:firstLine="482" w:firstLineChars="200"/>
      </w:pPr>
      <w:bookmarkStart w:id="57" w:name="_Toc15751169"/>
      <w:r>
        <w:rPr>
          <w:rFonts w:hint="eastAsia"/>
        </w:rPr>
        <w:t>九、其他应予说明的事项</w:t>
      </w:r>
      <w:bookmarkEnd w:id="57"/>
    </w:p>
    <w:p>
      <w:pPr>
        <w:pStyle w:val="18"/>
        <w:spacing w:beforeLines="50"/>
        <w:ind w:firstLine="480"/>
        <w:jc w:val="both"/>
      </w:pPr>
      <w:r>
        <w:rPr>
          <w:rFonts w:hint="eastAsia"/>
          <w:sz w:val="24"/>
          <w:szCs w:val="24"/>
        </w:rPr>
        <w:t>无。</w:t>
      </w:r>
    </w:p>
    <w:sectPr>
      <w:footerReference r:id="rId5" w:type="default"/>
      <w:pgSz w:w="11906" w:h="16838"/>
      <w:pgMar w:top="1588" w:right="1814" w:bottom="1588" w:left="1814" w:header="851" w:footer="992" w:gutter="0"/>
      <w:pgNumType w:start="1"/>
      <w:cols w:space="425" w:num="1"/>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楷体_GB2312">
    <w:altName w:val="楷体"/>
    <w:panose1 w:val="02010609030101010101"/>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0"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方正仿宋简体">
    <w:altName w:val="仿宋"/>
    <w:panose1 w:val="00000000000000000000"/>
    <w:charset w:val="86"/>
    <w:family w:val="auto"/>
    <w:pitch w:val="default"/>
    <w:sig w:usb0="00000000" w:usb1="080E0000" w:usb2="0000001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等线">
    <w:altName w:val="宋体"/>
    <w:panose1 w:val="02010600030101010101"/>
    <w:charset w:val="86"/>
    <w:family w:val="auto"/>
    <w:pitch w:val="default"/>
    <w:sig w:usb0="A00002BF" w:usb1="38CF7CFA" w:usb2="00000016" w:usb3="00000000" w:csb0="0004000F" w:csb1="00000000"/>
  </w:font>
  <w:font w:name="瀹嬩綋">
    <w:altName w:val="微软雅黑"/>
    <w:panose1 w:val="00000000000000000000"/>
    <w:charset w:val="01"/>
    <w:family w:val="auto"/>
    <w:pitch w:val="default"/>
    <w:sig w:usb0="00000000" w:usb1="00000000" w:usb2="00000000" w:usb3="00000000" w:csb0="00040001" w:csb1="00000000"/>
  </w:font>
  <w:font w:name="Helvetica Neue">
    <w:altName w:val="微软雅黑"/>
    <w:panose1 w:val="00000000000000000000"/>
    <w:charset w:val="01"/>
    <w:family w:val="auto"/>
    <w:pitch w:val="default"/>
    <w:sig w:usb0="00000000" w:usb1="00000000" w:usb2="00000000" w:usb3="00000000" w:csb0="00040001" w:csb1="00000000"/>
  </w:font>
  <w:font w:name="Arial Narrow">
    <w:altName w:val="Arial"/>
    <w:panose1 w:val="020B0606020202030204"/>
    <w:charset w:val="00"/>
    <w:family w:val="auto"/>
    <w:pitch w:val="default"/>
    <w:sig w:usb0="00000287" w:usb1="00000800" w:usb2="00000000" w:usb3="00000000" w:csb0="0000009F" w:csb1="00000000"/>
  </w:font>
  <w:font w:name="Helvetica">
    <w:altName w:val="Microsoft Sans Serif"/>
    <w:panose1 w:val="020B0604020202020204"/>
    <w:charset w:val="00"/>
    <w:family w:val="swiss"/>
    <w:pitch w:val="default"/>
    <w:sig w:usb0="E0002AFF" w:usb1="C0007843" w:usb2="00000009" w:usb3="00000000" w:csb0="000001FF" w:csb1="00000000"/>
  </w:font>
  <w:font w:name="Aharoni">
    <w:panose1 w:val="02010803020104030203"/>
    <w:charset w:val="B1"/>
    <w:family w:val="auto"/>
    <w:pitch w:val="default"/>
    <w:sig w:usb0="00000801" w:usb1="00000000" w:usb2="00000000" w:usb3="00000000" w:csb0="00000020" w:csb1="00200000"/>
  </w:font>
  <w:font w:name="Microsoft Sans Serif">
    <w:panose1 w:val="020B0604020202020204"/>
    <w:charset w:val="00"/>
    <w:family w:val="auto"/>
    <w:pitch w:val="default"/>
    <w:sig w:usb0="E1002AFF" w:usb1="C0000002" w:usb2="00000008" w:usb3="00000000" w:csb0="200101FF" w:csb1="20280000"/>
  </w:font>
  <w:font w:name="Verdana">
    <w:panose1 w:val="020B0604030504040204"/>
    <w:charset w:val="00"/>
    <w:family w:val="auto"/>
    <w:pitch w:val="default"/>
    <w:sig w:usb0="A10006FF" w:usb1="4000205B" w:usb2="00000010" w:usb3="00000000" w:csb0="2000019F" w:csb1="00000000"/>
  </w:font>
  <w:font w:name="Calibri Light">
    <w:panose1 w:val="020F0302020204030204"/>
    <w:charset w:val="00"/>
    <w:family w:val="auto"/>
    <w:pitch w:val="default"/>
    <w:sig w:usb0="A00002EF" w:usb1="4000207B" w:usb2="00000000" w:usb3="00000000" w:csb0="2000019F" w:csb1="00000000"/>
  </w:font>
  <w:font w:name="Century Gothic">
    <w:altName w:val="Segoe Print"/>
    <w:panose1 w:val="020B0502020202020204"/>
    <w:charset w:val="00"/>
    <w:family w:val="auto"/>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18</w:t>
    </w:r>
    <w:r>
      <w:rPr>
        <w:rFonts w:ascii="Times New Roman" w:hAnsi="Times New Roman" w:cs="Times New Roman"/>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81338811">
    <w:nsid w:val="2E9248BB"/>
    <w:multiLevelType w:val="multilevel"/>
    <w:tmpl w:val="2E9248BB"/>
    <w:lvl w:ilvl="0" w:tentative="1">
      <w:start w:val="1"/>
      <w:numFmt w:val="japaneseCounting"/>
      <w:pStyle w:val="2"/>
      <w:lvlText w:val="%1、"/>
      <w:lvlJc w:val="left"/>
      <w:pPr>
        <w:ind w:left="1287" w:hanging="720"/>
      </w:pPr>
      <w:rPr>
        <w:rFonts w:hint="default"/>
      </w:rPr>
    </w:lvl>
    <w:lvl w:ilvl="1" w:tentative="1">
      <w:start w:val="1"/>
      <w:numFmt w:val="lowerLetter"/>
      <w:lvlText w:val="%2)"/>
      <w:lvlJc w:val="left"/>
      <w:pPr>
        <w:ind w:left="1407" w:hanging="420"/>
      </w:pPr>
    </w:lvl>
    <w:lvl w:ilvl="2" w:tentative="1">
      <w:start w:val="1"/>
      <w:numFmt w:val="lowerRoman"/>
      <w:lvlText w:val="%3."/>
      <w:lvlJc w:val="right"/>
      <w:pPr>
        <w:ind w:left="1827" w:hanging="420"/>
      </w:pPr>
    </w:lvl>
    <w:lvl w:ilvl="3" w:tentative="1">
      <w:start w:val="1"/>
      <w:numFmt w:val="decimal"/>
      <w:lvlText w:val="%4."/>
      <w:lvlJc w:val="left"/>
      <w:pPr>
        <w:ind w:left="2247" w:hanging="420"/>
      </w:pPr>
    </w:lvl>
    <w:lvl w:ilvl="4" w:tentative="1">
      <w:start w:val="1"/>
      <w:numFmt w:val="lowerLetter"/>
      <w:lvlText w:val="%5)"/>
      <w:lvlJc w:val="left"/>
      <w:pPr>
        <w:ind w:left="2667" w:hanging="420"/>
      </w:pPr>
    </w:lvl>
    <w:lvl w:ilvl="5" w:tentative="1">
      <w:start w:val="1"/>
      <w:numFmt w:val="lowerRoman"/>
      <w:lvlText w:val="%6."/>
      <w:lvlJc w:val="right"/>
      <w:pPr>
        <w:ind w:left="3087" w:hanging="420"/>
      </w:pPr>
    </w:lvl>
    <w:lvl w:ilvl="6" w:tentative="1">
      <w:start w:val="1"/>
      <w:numFmt w:val="decimal"/>
      <w:lvlText w:val="%7."/>
      <w:lvlJc w:val="left"/>
      <w:pPr>
        <w:ind w:left="3507" w:hanging="420"/>
      </w:pPr>
    </w:lvl>
    <w:lvl w:ilvl="7" w:tentative="1">
      <w:start w:val="1"/>
      <w:numFmt w:val="lowerLetter"/>
      <w:lvlText w:val="%8)"/>
      <w:lvlJc w:val="left"/>
      <w:pPr>
        <w:ind w:left="3927" w:hanging="420"/>
      </w:pPr>
    </w:lvl>
    <w:lvl w:ilvl="8" w:tentative="1">
      <w:start w:val="1"/>
      <w:numFmt w:val="lowerRoman"/>
      <w:lvlText w:val="%9."/>
      <w:lvlJc w:val="right"/>
      <w:pPr>
        <w:ind w:left="4347" w:hanging="420"/>
      </w:pPr>
    </w:lvl>
  </w:abstractNum>
  <w:num w:numId="1">
    <w:abstractNumId w:val="7813388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0"/>
    <w:qFormat/>
    <w:uiPriority w:val="9"/>
    <w:pPr>
      <w:keepNext/>
      <w:keepLines/>
      <w:numPr>
        <w:ilvl w:val="0"/>
        <w:numId w:val="1"/>
      </w:numPr>
      <w:spacing w:beforeLines="50" w:line="360" w:lineRule="auto"/>
      <w:ind w:left="0" w:firstLine="482" w:firstLineChars="200"/>
      <w:outlineLvl w:val="0"/>
    </w:pPr>
    <w:rPr>
      <w:rFonts w:ascii="宋体" w:hAnsi="宋体" w:eastAsia="宋体"/>
      <w:b/>
      <w:bCs/>
      <w:kern w:val="44"/>
      <w:sz w:val="24"/>
      <w:szCs w:val="24"/>
    </w:rPr>
  </w:style>
  <w:style w:type="paragraph" w:styleId="3">
    <w:name w:val="heading 2"/>
    <w:basedOn w:val="1"/>
    <w:next w:val="1"/>
    <w:link w:val="21"/>
    <w:unhideWhenUsed/>
    <w:qFormat/>
    <w:uiPriority w:val="9"/>
    <w:pPr>
      <w:keepNext/>
      <w:keepLines/>
      <w:spacing w:beforeLines="50" w:line="360" w:lineRule="auto"/>
      <w:ind w:firstLine="482" w:firstLineChars="200"/>
      <w:outlineLvl w:val="1"/>
    </w:pPr>
    <w:rPr>
      <w:rFonts w:ascii="宋体" w:hAnsi="宋体" w:cs="黑体"/>
      <w:b/>
      <w:bCs/>
      <w:sz w:val="24"/>
      <w:szCs w:val="24"/>
    </w:rPr>
  </w:style>
  <w:style w:type="character" w:default="1" w:styleId="13">
    <w:name w:val="Default Paragraph Font"/>
    <w:semiHidden/>
    <w:unhideWhenUsed/>
    <w:uiPriority w:val="1"/>
  </w:style>
  <w:style w:type="paragraph" w:styleId="4">
    <w:name w:val="annotation subject"/>
    <w:basedOn w:val="5"/>
    <w:next w:val="5"/>
    <w:link w:val="27"/>
    <w:semiHidden/>
    <w:unhideWhenUsed/>
    <w:uiPriority w:val="99"/>
    <w:rPr>
      <w:b/>
      <w:bCs/>
    </w:rPr>
  </w:style>
  <w:style w:type="paragraph" w:styleId="5">
    <w:name w:val="annotation text"/>
    <w:basedOn w:val="1"/>
    <w:link w:val="26"/>
    <w:semiHidden/>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19"/>
    <w:semiHidden/>
    <w:unhideWhenUsed/>
    <w:uiPriority w:val="99"/>
    <w:pPr>
      <w:ind w:left="100" w:leftChars="2500"/>
    </w:pPr>
  </w:style>
  <w:style w:type="paragraph" w:styleId="8">
    <w:name w:val="Balloon Text"/>
    <w:basedOn w:val="1"/>
    <w:link w:val="24"/>
    <w:semiHidden/>
    <w:unhideWhenUsed/>
    <w:uiPriority w:val="99"/>
    <w:rPr>
      <w:sz w:val="18"/>
      <w:szCs w:val="18"/>
    </w:rPr>
  </w:style>
  <w:style w:type="paragraph" w:styleId="9">
    <w:name w:val="footer"/>
    <w:basedOn w:val="1"/>
    <w:link w:val="23"/>
    <w:unhideWhenUsed/>
    <w:uiPriority w:val="99"/>
    <w:pPr>
      <w:tabs>
        <w:tab w:val="center" w:pos="4153"/>
        <w:tab w:val="right" w:pos="8306"/>
      </w:tabs>
      <w:snapToGrid w:val="0"/>
      <w:jc w:val="left"/>
    </w:pPr>
    <w:rPr>
      <w:sz w:val="18"/>
      <w:szCs w:val="18"/>
    </w:rPr>
  </w:style>
  <w:style w:type="paragraph" w:styleId="10">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uiPriority w:val="39"/>
    <w:pPr>
      <w:tabs>
        <w:tab w:val="left" w:pos="255"/>
        <w:tab w:val="right" w:leader="dot" w:pos="8296"/>
      </w:tabs>
      <w:spacing w:line="360" w:lineRule="auto"/>
    </w:pPr>
    <w:rPr>
      <w:rFonts w:ascii="宋体" w:hAnsi="宋体"/>
      <w:b/>
      <w:sz w:val="24"/>
      <w:szCs w:val="24"/>
    </w:rPr>
  </w:style>
  <w:style w:type="paragraph" w:styleId="12">
    <w:name w:val="toc 2"/>
    <w:basedOn w:val="1"/>
    <w:next w:val="1"/>
    <w:unhideWhenUsed/>
    <w:uiPriority w:val="39"/>
    <w:pPr>
      <w:ind w:left="420" w:leftChars="200"/>
    </w:pPr>
  </w:style>
  <w:style w:type="character" w:styleId="14">
    <w:name w:val="Hyperlink"/>
    <w:basedOn w:val="13"/>
    <w:unhideWhenUsed/>
    <w:uiPriority w:val="99"/>
    <w:rPr>
      <w:color w:val="0563C1"/>
      <w:u w:val="single"/>
    </w:rPr>
  </w:style>
  <w:style w:type="character" w:styleId="15">
    <w:name w:val="annotation reference"/>
    <w:basedOn w:val="13"/>
    <w:semiHidden/>
    <w:unhideWhenUsed/>
    <w:qFormat/>
    <w:uiPriority w:val="99"/>
    <w:rPr>
      <w:sz w:val="21"/>
      <w:szCs w:val="21"/>
    </w:rPr>
  </w:style>
  <w:style w:type="paragraph" w:customStyle="1" w:styleId="16">
    <w:name w:val="List Paragraph"/>
    <w:basedOn w:val="1"/>
    <w:qFormat/>
    <w:uiPriority w:val="34"/>
    <w:pPr>
      <w:ind w:firstLine="420" w:firstLineChars="200"/>
    </w:pPr>
  </w:style>
  <w:style w:type="paragraph" w:customStyle="1" w:styleId="17">
    <w:name w:val="TOC 标题1"/>
    <w:basedOn w:val="2"/>
    <w:next w:val="1"/>
    <w:unhideWhenUsed/>
    <w:qFormat/>
    <w:uiPriority w:val="39"/>
    <w:pPr>
      <w:widowControl/>
      <w:spacing w:before="240" w:line="259" w:lineRule="auto"/>
      <w:jc w:val="left"/>
      <w:outlineLvl w:val="9"/>
    </w:pPr>
    <w:rPr>
      <w:rFonts w:ascii="Calibri Light" w:hAnsi="Calibri Light" w:cs="黑体"/>
      <w:b w:val="0"/>
      <w:bCs w:val="0"/>
      <w:color w:val="2D73B3"/>
      <w:kern w:val="0"/>
      <w:sz w:val="32"/>
      <w:szCs w:val="32"/>
    </w:rPr>
  </w:style>
  <w:style w:type="paragraph" w:customStyle="1" w:styleId="18">
    <w:name w:val="正文 四号 左 行距: 1.5 倍行距"/>
    <w:basedOn w:val="1"/>
    <w:link w:val="25"/>
    <w:qFormat/>
    <w:uiPriority w:val="0"/>
    <w:pPr>
      <w:spacing w:line="360" w:lineRule="auto"/>
      <w:ind w:firstLine="560" w:firstLineChars="200"/>
      <w:jc w:val="left"/>
    </w:pPr>
    <w:rPr>
      <w:rFonts w:ascii="Times New Roman" w:hAnsi="Times New Roman" w:eastAsia="宋体" w:cs="宋体"/>
      <w:sz w:val="28"/>
      <w:szCs w:val="20"/>
    </w:rPr>
  </w:style>
  <w:style w:type="character" w:customStyle="1" w:styleId="19">
    <w:name w:val="日期 字符"/>
    <w:basedOn w:val="13"/>
    <w:link w:val="7"/>
    <w:uiPriority w:val="99"/>
    <w:rPr/>
  </w:style>
  <w:style w:type="character" w:customStyle="1" w:styleId="20">
    <w:name w:val="标题 1 字符"/>
    <w:basedOn w:val="13"/>
    <w:link w:val="2"/>
    <w:uiPriority w:val="9"/>
    <w:rPr>
      <w:rFonts w:ascii="宋体" w:hAnsi="宋体" w:eastAsia="宋体"/>
      <w:b/>
      <w:bCs/>
      <w:kern w:val="44"/>
      <w:sz w:val="24"/>
      <w:szCs w:val="24"/>
    </w:rPr>
  </w:style>
  <w:style w:type="character" w:customStyle="1" w:styleId="21">
    <w:name w:val="标题 2 字符"/>
    <w:basedOn w:val="13"/>
    <w:link w:val="3"/>
    <w:uiPriority w:val="9"/>
    <w:rPr>
      <w:rFonts w:ascii="宋体" w:hAnsi="宋体" w:cs="黑体"/>
      <w:b/>
      <w:bCs/>
      <w:kern w:val="2"/>
      <w:sz w:val="24"/>
      <w:szCs w:val="24"/>
    </w:rPr>
  </w:style>
  <w:style w:type="character" w:customStyle="1" w:styleId="22">
    <w:name w:val="页眉 字符"/>
    <w:basedOn w:val="13"/>
    <w:link w:val="10"/>
    <w:uiPriority w:val="99"/>
    <w:rPr>
      <w:sz w:val="18"/>
      <w:szCs w:val="18"/>
    </w:rPr>
  </w:style>
  <w:style w:type="character" w:customStyle="1" w:styleId="23">
    <w:name w:val="页脚 字符"/>
    <w:basedOn w:val="13"/>
    <w:link w:val="9"/>
    <w:uiPriority w:val="99"/>
    <w:rPr>
      <w:sz w:val="18"/>
      <w:szCs w:val="18"/>
    </w:rPr>
  </w:style>
  <w:style w:type="character" w:customStyle="1" w:styleId="24">
    <w:name w:val="批注框文本 字符"/>
    <w:basedOn w:val="13"/>
    <w:link w:val="8"/>
    <w:uiPriority w:val="99"/>
    <w:rPr>
      <w:sz w:val="18"/>
      <w:szCs w:val="18"/>
    </w:rPr>
  </w:style>
  <w:style w:type="character" w:customStyle="1" w:styleId="25">
    <w:name w:val="正文 四号 左 行距: 1.5 倍行距 Char Char"/>
    <w:link w:val="18"/>
    <w:qFormat/>
    <w:uiPriority w:val="0"/>
    <w:rPr>
      <w:rFonts w:ascii="Times New Roman" w:hAnsi="Times New Roman" w:eastAsia="宋体" w:cs="宋体"/>
      <w:sz w:val="28"/>
      <w:szCs w:val="20"/>
    </w:rPr>
  </w:style>
  <w:style w:type="character" w:customStyle="1" w:styleId="26">
    <w:name w:val="批注文字 字符"/>
    <w:basedOn w:val="13"/>
    <w:link w:val="5"/>
    <w:uiPriority w:val="99"/>
    <w:rPr/>
  </w:style>
  <w:style w:type="character" w:customStyle="1" w:styleId="27">
    <w:name w:val="批注主题 字符"/>
    <w:basedOn w:val="26"/>
    <w:link w:val="4"/>
    <w:uiPriority w:val="99"/>
    <w:rPr>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26</Pages>
  <Words>2906</Words>
  <Characters>16567</Characters>
  <Lines>138</Lines>
  <Paragraphs>38</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2020-01-16T08:57:00Z</dcterms:created>
  <dc:creator>WWQ</dc:creator>
  <cp:lastModifiedBy>moc</cp:lastModifiedBy>
  <cp:lastPrinted>2020-01-15T01:10:00Z</cp:lastPrinted>
  <dcterms:modified xsi:type="dcterms:W3CDTF">2020-02-05T08:50:54Z</dcterms:modified>
  <dc:title>油船清洗舱安全作业要求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